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3A" w:rsidRPr="005E49ED" w:rsidRDefault="001D320B" w:rsidP="005F190F">
      <w:pPr>
        <w:rPr>
          <w:rFonts w:ascii="Arial" w:hAnsi="Arial" w:cs="Arial"/>
          <w:noProof w:val="0"/>
          <w:sz w:val="36"/>
          <w:szCs w:val="36"/>
          <w:lang w:val="fr-FR"/>
        </w:rPr>
      </w:pPr>
      <w:r>
        <w:rPr>
          <w:rFonts w:ascii="Arial" w:hAnsi="Arial" w:cs="Arial"/>
          <w:sz w:val="36"/>
          <w:szCs w:val="36"/>
          <w:lang w:val="en-US" w:eastAsia="en-US"/>
        </w:rPr>
        <mc:AlternateContent>
          <mc:Choice Requires="wps">
            <w:drawing>
              <wp:anchor distT="0" distB="0" distL="114300" distR="114300" simplePos="0" relativeHeight="251658240" behindDoc="0" locked="0" layoutInCell="0" allowOverlap="1">
                <wp:simplePos x="0" y="0"/>
                <wp:positionH relativeFrom="column">
                  <wp:posOffset>4523105</wp:posOffset>
                </wp:positionH>
                <wp:positionV relativeFrom="paragraph">
                  <wp:posOffset>755015</wp:posOffset>
                </wp:positionV>
                <wp:extent cx="1028700" cy="4559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F61" w:rsidRPr="008265D5" w:rsidRDefault="00333F61" w:rsidP="00DA70A5">
                            <w:pPr>
                              <w:tabs>
                                <w:tab w:val="center" w:pos="5387"/>
                              </w:tabs>
                              <w:spacing w:before="240"/>
                              <w:jc w:val="center"/>
                              <w:rPr>
                                <w:szCs w:val="24"/>
                              </w:rPr>
                            </w:pPr>
                            <w:r>
                              <w:rPr>
                                <w:rFonts w:ascii="Arial" w:hAnsi="Arial" w:cs="Arial"/>
                                <w:noProof w:val="0"/>
                                <w:color w:val="808080"/>
                                <w:sz w:val="22"/>
                                <w:szCs w:val="22"/>
                                <w:lang w:val="cs-CZ"/>
                              </w:rPr>
                              <w:t>2014 - 2015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356.15pt;margin-top:59.45pt;width:81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" o:allowincell="f" filled="f" stroked="f">
                <v:textbox>
                  <w:txbxContent>
                    <w:p w:rsidR="00333F61" w:rsidRPr="008265D5" w:rsidRDefault="00333F61" w:rsidP="00DA70A5">
                      <w:pPr>
                        <w:tabs>
                          <w:tab w:val="center" w:pos="5387"/>
                        </w:tabs>
                        <w:spacing w:before="240"/>
                        <w:jc w:val="center"/>
                        <w:rPr>
                          <w:szCs w:val="24"/>
                        </w:rPr>
                      </w:pPr>
                      <w:r>
                        <w:rPr>
                          <w:rFonts w:ascii="Arial" w:hAnsi="Arial" w:cs="Arial"/>
                          <w:noProof w:val="0"/>
                          <w:color w:val="808080"/>
                          <w:sz w:val="22"/>
                          <w:szCs w:val="22"/>
                          <w:lang w:val="cs-CZ"/>
                        </w:rPr>
                        <w:t>2014 - 2015</w:t>
                      </w:r>
                    </w:p>
                  </w:txbxContent>
                </v:textbox>
              </v:shape>
            </w:pict>
          </mc:Fallback>
        </mc:AlternateContent>
      </w:r>
      <w:r>
        <w:rPr>
          <w:rFonts w:ascii="Arial" w:hAnsi="Arial" w:cs="Arial"/>
          <w:sz w:val="36"/>
          <w:szCs w:val="36"/>
          <w:lang w:val="en-US" w:eastAsia="en-US"/>
        </w:rPr>
        <mc:AlternateContent>
          <mc:Choice Requires="wps">
            <w:drawing>
              <wp:anchor distT="0" distB="0" distL="114300" distR="114300" simplePos="0" relativeHeight="251657216" behindDoc="0" locked="0" layoutInCell="0" allowOverlap="1">
                <wp:simplePos x="0" y="0"/>
                <wp:positionH relativeFrom="column">
                  <wp:posOffset>294005</wp:posOffset>
                </wp:positionH>
                <wp:positionV relativeFrom="paragraph">
                  <wp:posOffset>919480</wp:posOffset>
                </wp:positionV>
                <wp:extent cx="2057400" cy="3429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F61" w:rsidRPr="00A4190D" w:rsidRDefault="00333F61" w:rsidP="005F190F">
                            <w:pPr>
                              <w:rPr>
                                <w:rFonts w:ascii="Arial" w:hAnsi="Arial" w:cs="Arial"/>
                                <w:sz w:val="22"/>
                                <w:szCs w:val="22"/>
                              </w:rPr>
                            </w:pPr>
                            <w:r w:rsidRPr="00A4190D">
                              <w:rPr>
                                <w:rFonts w:ascii="Arial" w:hAnsi="Arial" w:cs="Arial"/>
                                <w:noProof w:val="0"/>
                                <w:color w:val="4D4D4D"/>
                                <w:sz w:val="22"/>
                                <w:szCs w:val="22"/>
                                <w:lang w:val="pt-PT"/>
                              </w:rPr>
                              <w:t>PARLEMENT EUROPEEN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3.15pt;margin-top:72.4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QLd7YCAADA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" o:allowincell="f" filled="f" stroked="f">
                <v:textbox>
                  <w:txbxContent>
                    <w:p w:rsidR="00333F61" w:rsidRPr="00A4190D" w:rsidRDefault="00333F61" w:rsidP="005F190F">
                      <w:pPr>
                        <w:rPr>
                          <w:rFonts w:ascii="Arial" w:hAnsi="Arial" w:cs="Arial"/>
                          <w:sz w:val="22"/>
                          <w:szCs w:val="22"/>
                        </w:rPr>
                      </w:pPr>
                      <w:r w:rsidRPr="00A4190D">
                        <w:rPr>
                          <w:rFonts w:ascii="Arial" w:hAnsi="Arial" w:cs="Arial"/>
                          <w:noProof w:val="0"/>
                          <w:color w:val="4D4D4D"/>
                          <w:sz w:val="22"/>
                          <w:szCs w:val="22"/>
                          <w:lang w:val="pt-PT"/>
                        </w:rPr>
                        <w:t>PARLEMENT EUROPEEN</w:t>
                      </w:r>
                    </w:p>
                  </w:txbxContent>
                </v:textbox>
              </v:shape>
            </w:pict>
          </mc:Fallback>
        </mc:AlternateContent>
      </w:r>
      <w:r>
        <w:rPr>
          <w:rFonts w:ascii="Arial" w:hAnsi="Arial" w:cs="Arial"/>
          <w:sz w:val="36"/>
          <w:szCs w:val="36"/>
          <w:lang w:val="en-US" w:eastAsia="en-US"/>
        </w:rPr>
        <w:drawing>
          <wp:anchor distT="0" distB="0" distL="114300" distR="114300" simplePos="0" relativeHeight="251656192" behindDoc="0" locked="0" layoutInCell="0" allowOverlap="1">
            <wp:simplePos x="0" y="0"/>
            <wp:positionH relativeFrom="column">
              <wp:posOffset>-134620</wp:posOffset>
            </wp:positionH>
            <wp:positionV relativeFrom="paragraph">
              <wp:posOffset>-62865</wp:posOffset>
            </wp:positionV>
            <wp:extent cx="1800225" cy="982345"/>
            <wp:effectExtent l="0" t="0" r="3175" b="8255"/>
            <wp:wrapNone/>
            <wp:docPr id="7" name="Picture 7" descr="S_500_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_500_pt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B81E3A" w:rsidRPr="005E49ED" w:rsidRDefault="00B81E3A" w:rsidP="005F190F">
      <w:pPr>
        <w:rPr>
          <w:rFonts w:ascii="Arial" w:hAnsi="Arial" w:cs="Arial"/>
          <w:noProof w:val="0"/>
          <w:sz w:val="36"/>
          <w:szCs w:val="36"/>
          <w:lang w:val="fr-FR"/>
        </w:rPr>
      </w:pPr>
    </w:p>
    <w:p w:rsidR="00A4190D" w:rsidRPr="005E49ED" w:rsidRDefault="00A4190D" w:rsidP="005F190F">
      <w:pPr>
        <w:rPr>
          <w:rFonts w:ascii="Arial" w:hAnsi="Arial" w:cs="Arial"/>
          <w:noProof w:val="0"/>
          <w:sz w:val="36"/>
          <w:szCs w:val="36"/>
          <w:lang w:val="fr-FR"/>
        </w:rPr>
      </w:pPr>
    </w:p>
    <w:p w:rsidR="00A4190D" w:rsidRPr="005E49ED" w:rsidRDefault="00A4190D" w:rsidP="005F190F">
      <w:pPr>
        <w:rPr>
          <w:rFonts w:ascii="Arial" w:hAnsi="Arial" w:cs="Arial"/>
          <w:noProof w:val="0"/>
          <w:sz w:val="36"/>
          <w:szCs w:val="36"/>
          <w:lang w:val="fr-FR"/>
        </w:rPr>
      </w:pPr>
    </w:p>
    <w:p w:rsidR="00B81E3A" w:rsidRPr="005E49ED" w:rsidRDefault="005F190F">
      <w:pPr>
        <w:pStyle w:val="Heading4"/>
        <w:rPr>
          <w:rFonts w:ascii="Arial" w:hAnsi="Arial" w:cs="Arial"/>
          <w:sz w:val="68"/>
          <w:szCs w:val="68"/>
        </w:rPr>
      </w:pPr>
      <w:bookmarkStart w:id="0" w:name="title"/>
      <w:r w:rsidRPr="005E49ED">
        <w:rPr>
          <w:rFonts w:ascii="Arial" w:hAnsi="Arial" w:cs="Arial"/>
          <w:sz w:val="68"/>
          <w:szCs w:val="68"/>
        </w:rPr>
        <w:t>TEXTES ADOPTÉ</w:t>
      </w:r>
      <w:r w:rsidR="00B81E3A" w:rsidRPr="005E49ED">
        <w:rPr>
          <w:rFonts w:ascii="Arial" w:hAnsi="Arial" w:cs="Arial"/>
          <w:sz w:val="68"/>
          <w:szCs w:val="68"/>
        </w:rPr>
        <w:t>S</w:t>
      </w:r>
    </w:p>
    <w:p w:rsidR="00B81E3A" w:rsidRPr="005E49ED" w:rsidRDefault="00B81E3A" w:rsidP="005F190F">
      <w:pPr>
        <w:jc w:val="center"/>
        <w:rPr>
          <w:rFonts w:ascii="Arial" w:hAnsi="Arial" w:cs="Arial"/>
          <w:noProof w:val="0"/>
          <w:sz w:val="36"/>
          <w:szCs w:val="36"/>
          <w:lang w:val="fr-FR"/>
        </w:rPr>
      </w:pPr>
    </w:p>
    <w:p w:rsidR="008309B1" w:rsidRPr="00302E1E" w:rsidRDefault="008309B1" w:rsidP="008309B1">
      <w:pPr>
        <w:jc w:val="center"/>
        <w:rPr>
          <w:rFonts w:ascii="Arial" w:hAnsi="Arial" w:cs="Arial"/>
          <w:b/>
          <w:noProof w:val="0"/>
          <w:sz w:val="36"/>
          <w:szCs w:val="36"/>
          <w:lang w:val="fr-FR"/>
        </w:rPr>
      </w:pPr>
      <w:r w:rsidRPr="00302E1E">
        <w:rPr>
          <w:rFonts w:ascii="Arial" w:hAnsi="Arial" w:cs="Arial"/>
          <w:b/>
          <w:noProof w:val="0"/>
          <w:sz w:val="36"/>
          <w:szCs w:val="36"/>
          <w:lang w:val="fr-FR"/>
        </w:rPr>
        <w:t xml:space="preserve">PARTIE </w:t>
      </w:r>
      <w:r w:rsidR="00E21ECD">
        <w:rPr>
          <w:rFonts w:ascii="Arial" w:hAnsi="Arial" w:cs="Arial"/>
          <w:b/>
          <w:noProof w:val="0"/>
          <w:sz w:val="36"/>
          <w:szCs w:val="36"/>
          <w:lang w:val="fr-FR"/>
        </w:rPr>
        <w:t>V</w:t>
      </w:r>
    </w:p>
    <w:p w:rsidR="005F190F" w:rsidRPr="005E49ED" w:rsidRDefault="005F190F" w:rsidP="005F190F">
      <w:pPr>
        <w:jc w:val="center"/>
        <w:rPr>
          <w:rFonts w:ascii="Arial" w:hAnsi="Arial" w:cs="Arial"/>
          <w:noProof w:val="0"/>
          <w:sz w:val="36"/>
          <w:szCs w:val="36"/>
          <w:lang w:val="fr-FR"/>
        </w:rPr>
      </w:pPr>
    </w:p>
    <w:p w:rsidR="00B81E3A" w:rsidRPr="005E49ED" w:rsidRDefault="00B81E3A">
      <w:pPr>
        <w:tabs>
          <w:tab w:val="center" w:pos="5387"/>
        </w:tabs>
        <w:jc w:val="center"/>
        <w:rPr>
          <w:rFonts w:ascii="Arial" w:hAnsi="Arial" w:cs="Arial"/>
          <w:noProof w:val="0"/>
          <w:sz w:val="29"/>
          <w:szCs w:val="29"/>
          <w:lang w:val="fr-FR"/>
        </w:rPr>
      </w:pPr>
      <w:r w:rsidRPr="005E49ED">
        <w:rPr>
          <w:rFonts w:ascii="Arial" w:hAnsi="Arial" w:cs="Arial"/>
          <w:noProof w:val="0"/>
          <w:sz w:val="29"/>
          <w:szCs w:val="29"/>
          <w:lang w:val="fr-FR"/>
        </w:rPr>
        <w:t>au cours de la séance du</w:t>
      </w:r>
    </w:p>
    <w:p w:rsidR="00B81E3A" w:rsidRPr="005E49ED" w:rsidRDefault="00B81E3A">
      <w:pPr>
        <w:jc w:val="center"/>
        <w:rPr>
          <w:rFonts w:ascii="Arial" w:hAnsi="Arial" w:cs="Arial"/>
          <w:b/>
          <w:noProof w:val="0"/>
          <w:sz w:val="29"/>
          <w:szCs w:val="29"/>
          <w:lang w:val="fr-FR"/>
        </w:rPr>
      </w:pPr>
    </w:p>
    <w:p w:rsidR="00B81E3A" w:rsidRPr="005E49ED" w:rsidRDefault="00E56901">
      <w:pPr>
        <w:jc w:val="center"/>
        <w:rPr>
          <w:rFonts w:ascii="Arial" w:hAnsi="Arial" w:cs="Arial"/>
          <w:b/>
          <w:noProof w:val="0"/>
          <w:sz w:val="29"/>
          <w:szCs w:val="29"/>
          <w:lang w:val="fr-FR"/>
        </w:rPr>
      </w:pPr>
      <w:r w:rsidRPr="008309B1">
        <w:rPr>
          <w:rFonts w:ascii="Arial" w:hAnsi="Arial" w:cs="Arial"/>
          <w:b/>
          <w:sz w:val="29"/>
          <w:szCs w:val="29"/>
          <w:lang w:val="fr-FR"/>
        </w:rPr>
        <w:t>mardi</w:t>
      </w:r>
    </w:p>
    <w:p w:rsidR="00B81E3A" w:rsidRPr="005E49ED" w:rsidRDefault="00E56901" w:rsidP="005F190F">
      <w:pPr>
        <w:jc w:val="center"/>
        <w:rPr>
          <w:rFonts w:ascii="Arial" w:hAnsi="Arial" w:cs="Arial"/>
          <w:noProof w:val="0"/>
          <w:lang w:val="fr-FR"/>
        </w:rPr>
      </w:pPr>
      <w:r w:rsidRPr="008309B1">
        <w:rPr>
          <w:rFonts w:ascii="Arial" w:hAnsi="Arial" w:cs="Arial"/>
          <w:sz w:val="29"/>
          <w:szCs w:val="29"/>
          <w:lang w:val="fr-FR"/>
        </w:rPr>
        <w:t>15 avril 2014</w:t>
      </w:r>
    </w:p>
    <w:bookmarkEnd w:id="0"/>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1D320B">
      <w:pPr>
        <w:tabs>
          <w:tab w:val="center" w:pos="5103"/>
          <w:tab w:val="right" w:pos="9214"/>
        </w:tabs>
        <w:ind w:right="27"/>
        <w:rPr>
          <w:rFonts w:ascii="Arial" w:hAnsi="Arial" w:cs="Arial"/>
          <w:noProof w:val="0"/>
          <w:sz w:val="20"/>
          <w:lang w:val="fr-FR"/>
        </w:rPr>
      </w:pPr>
      <w:r>
        <w:rPr>
          <w:rFonts w:ascii="Arial" w:hAnsi="Arial" w:cs="Arial"/>
          <w:sz w:val="20"/>
          <w:lang w:val="en-US" w:eastAsia="en-US"/>
        </w:rPr>
        <w:drawing>
          <wp:anchor distT="0" distB="0" distL="114300" distR="114300" simplePos="0" relativeHeight="251659264" behindDoc="1" locked="1" layoutInCell="0" allowOverlap="1">
            <wp:simplePos x="0" y="0"/>
            <wp:positionH relativeFrom="column">
              <wp:align>center</wp:align>
            </wp:positionH>
            <wp:positionV relativeFrom="paragraph">
              <wp:posOffset>296545</wp:posOffset>
            </wp:positionV>
            <wp:extent cx="3931920" cy="1280160"/>
            <wp:effectExtent l="0" t="0" r="5080" b="0"/>
            <wp:wrapTight wrapText="bothSides">
              <wp:wrapPolygon edited="0">
                <wp:start x="0" y="0"/>
                <wp:lineTo x="0" y="21000"/>
                <wp:lineTo x="21488" y="21000"/>
                <wp:lineTo x="21488" y="0"/>
                <wp:lineTo x="0"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92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E49ED" w:rsidRPr="005E49ED" w:rsidRDefault="005E49ED">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5F190F" w:rsidRPr="005E49ED" w:rsidRDefault="005F190F">
      <w:pPr>
        <w:tabs>
          <w:tab w:val="center" w:pos="5103"/>
          <w:tab w:val="right" w:pos="9214"/>
        </w:tabs>
        <w:ind w:right="27"/>
        <w:rPr>
          <w:rFonts w:ascii="Arial" w:hAnsi="Arial" w:cs="Arial"/>
          <w:noProof w:val="0"/>
          <w:sz w:val="20"/>
          <w:lang w:val="fr-FR"/>
        </w:rPr>
      </w:pPr>
    </w:p>
    <w:p w:rsidR="00B81E3A" w:rsidRPr="00A4190D" w:rsidRDefault="00B81E3A">
      <w:pPr>
        <w:tabs>
          <w:tab w:val="center" w:pos="5103"/>
          <w:tab w:val="right" w:pos="9214"/>
        </w:tabs>
        <w:ind w:right="27"/>
        <w:rPr>
          <w:rFonts w:ascii="Arial" w:hAnsi="Arial" w:cs="Arial"/>
          <w:noProof w:val="0"/>
          <w:sz w:val="18"/>
          <w:szCs w:val="18"/>
          <w:lang w:val="fr-FR"/>
        </w:rPr>
        <w:sectPr w:rsidR="00B81E3A" w:rsidRPr="00A4190D" w:rsidSect="002022A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247" w:bottom="1814" w:left="1418" w:header="720" w:footer="429" w:gutter="0"/>
          <w:cols w:space="720"/>
          <w:titlePg/>
        </w:sectPr>
      </w:pPr>
      <w:r w:rsidRPr="005E49ED">
        <w:rPr>
          <w:rFonts w:ascii="Arial" w:hAnsi="Arial" w:cs="Arial"/>
          <w:noProof w:val="0"/>
          <w:sz w:val="18"/>
          <w:szCs w:val="18"/>
          <w:lang w:val="fr-FR"/>
        </w:rPr>
        <w:t>P</w:t>
      </w:r>
      <w:r w:rsidR="00750716">
        <w:rPr>
          <w:rFonts w:ascii="Arial" w:hAnsi="Arial" w:cs="Arial"/>
          <w:noProof w:val="0"/>
          <w:sz w:val="18"/>
          <w:szCs w:val="18"/>
          <w:lang w:val="fr-FR"/>
        </w:rPr>
        <w:t>7</w:t>
      </w:r>
      <w:r w:rsidRPr="005E49ED">
        <w:rPr>
          <w:rFonts w:ascii="Arial" w:hAnsi="Arial" w:cs="Arial"/>
          <w:noProof w:val="0"/>
          <w:sz w:val="18"/>
          <w:szCs w:val="18"/>
          <w:lang w:val="fr-FR"/>
        </w:rPr>
        <w:t>_TA-PROV(</w:t>
      </w:r>
      <w:r w:rsidR="00E56901" w:rsidRPr="008309B1">
        <w:rPr>
          <w:rFonts w:ascii="Arial" w:hAnsi="Arial" w:cs="Arial"/>
          <w:sz w:val="18"/>
          <w:szCs w:val="18"/>
          <w:lang w:val="fr-FR"/>
        </w:rPr>
        <w:t>2014</w:t>
      </w:r>
      <w:r w:rsidRPr="005E49ED">
        <w:rPr>
          <w:rFonts w:ascii="Arial" w:hAnsi="Arial" w:cs="Arial"/>
          <w:noProof w:val="0"/>
          <w:sz w:val="18"/>
          <w:szCs w:val="18"/>
          <w:lang w:val="fr-FR"/>
        </w:rPr>
        <w:t>)</w:t>
      </w:r>
      <w:r w:rsidR="00E56901" w:rsidRPr="008309B1">
        <w:rPr>
          <w:rFonts w:ascii="Arial" w:hAnsi="Arial" w:cs="Arial"/>
          <w:sz w:val="18"/>
          <w:szCs w:val="18"/>
          <w:lang w:val="fr-FR"/>
        </w:rPr>
        <w:t>04-15</w:t>
      </w:r>
      <w:r w:rsidRPr="005E49ED">
        <w:rPr>
          <w:rFonts w:ascii="Arial" w:hAnsi="Arial" w:cs="Arial"/>
          <w:noProof w:val="0"/>
          <w:sz w:val="18"/>
          <w:szCs w:val="18"/>
          <w:lang w:val="fr-FR"/>
        </w:rPr>
        <w:tab/>
        <w:t>EDITION PROVISOIRE</w:t>
      </w:r>
      <w:r w:rsidRPr="005E49ED">
        <w:rPr>
          <w:rFonts w:ascii="Arial" w:hAnsi="Arial" w:cs="Arial"/>
          <w:noProof w:val="0"/>
          <w:sz w:val="18"/>
          <w:szCs w:val="18"/>
          <w:lang w:val="fr-FR"/>
        </w:rPr>
        <w:tab/>
        <w:t>PE</w:t>
      </w:r>
      <w:r w:rsidRPr="00A4190D">
        <w:rPr>
          <w:rFonts w:ascii="Arial" w:hAnsi="Arial" w:cs="Arial"/>
          <w:noProof w:val="0"/>
          <w:sz w:val="18"/>
          <w:szCs w:val="18"/>
          <w:lang w:val="fr-FR"/>
        </w:rPr>
        <w:t xml:space="preserve"> </w:t>
      </w:r>
      <w:r w:rsidR="00E56901">
        <w:rPr>
          <w:rFonts w:ascii="Arial" w:hAnsi="Arial" w:cs="Arial"/>
          <w:noProof w:val="0"/>
          <w:sz w:val="18"/>
          <w:szCs w:val="18"/>
          <w:lang w:val="fr-FR"/>
        </w:rPr>
        <w:t>531.385</w:t>
      </w:r>
    </w:p>
    <w:p w:rsidR="00B81E3A" w:rsidRDefault="00B81E3A">
      <w:pPr>
        <w:rPr>
          <w:noProof w:val="0"/>
          <w:lang w:val="fr-FR"/>
        </w:rPr>
      </w:pPr>
    </w:p>
    <w:p w:rsidR="00B81E3A" w:rsidRDefault="00B81E3A">
      <w:pPr>
        <w:pStyle w:val="ATTOCTitle"/>
        <w:rPr>
          <w:noProof w:val="0"/>
          <w:lang w:val="fr-FR"/>
        </w:rPr>
      </w:pPr>
      <w:r>
        <w:rPr>
          <w:noProof w:val="0"/>
          <w:lang w:val="fr-FR"/>
        </w:rPr>
        <w:t>sommaire</w:t>
      </w:r>
    </w:p>
    <w:p w:rsidR="00B81E3A" w:rsidRDefault="00B81E3A">
      <w:pPr>
        <w:rPr>
          <w:noProof w:val="0"/>
          <w:lang w:val="fr-FR"/>
        </w:rPr>
      </w:pPr>
    </w:p>
    <w:p w:rsidR="00B81E3A" w:rsidRDefault="00B81E3A">
      <w:pPr>
        <w:pStyle w:val="ATTOCTitle"/>
        <w:rPr>
          <w:noProof w:val="0"/>
          <w:lang w:val="fr-FR"/>
        </w:rPr>
      </w:pPr>
      <w:r>
        <w:rPr>
          <w:noProof w:val="0"/>
          <w:lang w:val="fr-FR"/>
        </w:rPr>
        <w:t>TEXTEs adopTés par le parlement</w:t>
      </w:r>
    </w:p>
    <w:p w:rsidR="00B81E3A" w:rsidRDefault="00B81E3A">
      <w:pPr>
        <w:rPr>
          <w:noProof w:val="0"/>
          <w:lang w:val="fr-FR"/>
        </w:rPr>
      </w:pPr>
    </w:p>
    <w:p w:rsidR="00B81E3A" w:rsidRDefault="00B81E3A">
      <w:pPr>
        <w:rPr>
          <w:noProof w:val="0"/>
          <w:lang w:val="fr-FR"/>
        </w:rPr>
      </w:pPr>
    </w:p>
    <w:p w:rsidR="00B81E3A" w:rsidRDefault="00B81E3A">
      <w:pPr>
        <w:rPr>
          <w:noProof w:val="0"/>
          <w:lang w:val="fr-FR"/>
        </w:rPr>
      </w:pPr>
    </w:p>
    <w:p w:rsidR="001953AA" w:rsidRPr="00075179" w:rsidRDefault="00B81E3A">
      <w:pPr>
        <w:pStyle w:val="TOC1"/>
        <w:tabs>
          <w:tab w:val="right" w:leader="dot" w:pos="9232"/>
        </w:tabs>
        <w:rPr>
          <w:rFonts w:ascii="Calibri" w:hAnsi="Calibri"/>
          <w:b w:val="0"/>
          <w:sz w:val="22"/>
          <w:szCs w:val="22"/>
          <w:lang w:val="fr-FR" w:eastAsia="fr-FR"/>
        </w:rPr>
      </w:pPr>
      <w:r>
        <w:rPr>
          <w:noProof w:val="0"/>
          <w:lang w:val="fr-FR"/>
        </w:rPr>
        <w:fldChar w:fldCharType="begin"/>
      </w:r>
      <w:r w:rsidRPr="002022AB">
        <w:rPr>
          <w:noProof w:val="0"/>
          <w:lang w:val="fr-FR"/>
        </w:rPr>
        <w:instrText xml:space="preserve"> </w:instrText>
      </w:r>
      <w:r w:rsidR="00B3365B" w:rsidRPr="002022AB">
        <w:rPr>
          <w:lang w:val="fr-FR"/>
        </w:rPr>
        <w:instrText>TOC \f \t "AT Heading 1;1;AT Heading 2;2;AT Heading 3;4" \n "1-3"</w:instrText>
      </w:r>
      <w:r w:rsidRPr="002022AB">
        <w:rPr>
          <w:noProof w:val="0"/>
          <w:lang w:val="fr-FR"/>
        </w:rPr>
        <w:instrText xml:space="preserve"> </w:instrText>
      </w:r>
      <w:r>
        <w:rPr>
          <w:noProof w:val="0"/>
          <w:lang w:val="fr-FR"/>
        </w:rPr>
        <w:fldChar w:fldCharType="separate"/>
      </w:r>
      <w:r w:rsidR="001953AA" w:rsidRPr="001953AA">
        <w:rPr>
          <w:lang w:val="fr-FR"/>
        </w:rPr>
        <w:t>P7_TA-PROV(2014)0362</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Produits agricoles sur le marché intérieur et dans les pays tiers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(A7-0217/2014 - Rapporteure: Esther Herranz García)</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règlement du Parlement européen et du Conseil relatif à des actions d'information et de promotion en faveur des produits agricoles sur le marché intérieur et dans les pays tiers (COM(2013)0812 – C7-0416/2013 – 2013/0398(COD))</w:t>
      </w:r>
      <w:r w:rsidRPr="001953AA">
        <w:rPr>
          <w:lang w:val="fr-FR"/>
        </w:rPr>
        <w:tab/>
      </w:r>
      <w:r>
        <w:fldChar w:fldCharType="begin"/>
      </w:r>
      <w:r w:rsidRPr="001953AA">
        <w:rPr>
          <w:lang w:val="fr-FR"/>
        </w:rPr>
        <w:instrText xml:space="preserve"> PAGEREF _Toc385343054 \h </w:instrText>
      </w:r>
      <w:r>
        <w:fldChar w:fldCharType="separate"/>
      </w:r>
      <w:r w:rsidRPr="001953AA">
        <w:rPr>
          <w:lang w:val="fr-FR"/>
        </w:rPr>
        <w:t>1</w:t>
      </w:r>
      <w:r>
        <w:fldChar w:fldCharType="end"/>
      </w:r>
    </w:p>
    <w:p w:rsidR="001953AA" w:rsidRPr="00075179" w:rsidRDefault="001953AA">
      <w:pPr>
        <w:pStyle w:val="TOC1"/>
        <w:tabs>
          <w:tab w:val="right" w:leader="dot" w:pos="9232"/>
        </w:tabs>
        <w:rPr>
          <w:rFonts w:ascii="Calibri" w:hAnsi="Calibri"/>
          <w:b w:val="0"/>
          <w:sz w:val="22"/>
          <w:szCs w:val="22"/>
          <w:lang w:val="fr-FR" w:eastAsia="fr-FR"/>
        </w:rPr>
      </w:pPr>
      <w:r w:rsidRPr="001953AA">
        <w:rPr>
          <w:lang w:val="fr-FR"/>
        </w:rPr>
        <w:t>P7_TA-PROV(2014)0363</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Programme de recherche et développement sur l’assistance à la vie active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(A7-0076/2014 - Rapporteur: Claude Turmes)</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décision du Parlement européen et du Conseil sur la participation de l'Union au programme de recherche et développement sur l'assistance à la vie active entrepris en commun par plusieurs États membres (COM(2013)0500 – C7-0219/2013 – 2013/0233(COD))</w:t>
      </w:r>
      <w:r w:rsidRPr="001953AA">
        <w:rPr>
          <w:lang w:val="fr-FR"/>
        </w:rPr>
        <w:tab/>
      </w:r>
      <w:r>
        <w:fldChar w:fldCharType="begin"/>
      </w:r>
      <w:r w:rsidRPr="001953AA">
        <w:rPr>
          <w:lang w:val="fr-FR"/>
        </w:rPr>
        <w:instrText xml:space="preserve"> PAGEREF _Toc385343058 \h </w:instrText>
      </w:r>
      <w:r>
        <w:fldChar w:fldCharType="separate"/>
      </w:r>
      <w:r w:rsidRPr="001953AA">
        <w:rPr>
          <w:lang w:val="fr-FR"/>
        </w:rPr>
        <w:t>53</w:t>
      </w:r>
      <w:r>
        <w:fldChar w:fldCharType="end"/>
      </w:r>
    </w:p>
    <w:p w:rsidR="001953AA" w:rsidRPr="00075179" w:rsidRDefault="001953AA">
      <w:pPr>
        <w:pStyle w:val="TOC1"/>
        <w:tabs>
          <w:tab w:val="right" w:leader="dot" w:pos="9232"/>
        </w:tabs>
        <w:rPr>
          <w:rFonts w:ascii="Calibri" w:hAnsi="Calibri"/>
          <w:b w:val="0"/>
          <w:sz w:val="22"/>
          <w:szCs w:val="22"/>
          <w:lang w:val="fr-FR" w:eastAsia="fr-FR"/>
        </w:rPr>
      </w:pPr>
      <w:r w:rsidRPr="001953AA">
        <w:rPr>
          <w:lang w:val="fr-FR"/>
        </w:rPr>
        <w:t>P7_TA-PROV(2014)0364</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Programme de recherche et développement en faveur des petites et moyennes entreprises exerçant des activités de recherche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(A7-0077/2014 - Rapporteur: Miloslav Ransdorf)</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décision du Parlement européen et du Conseil relative à la participation de l'Union à un programme de recherche et développement entrepris conjointement par plusieurs États membres pour soutenir les petites et moyennes entreprises exerçant des activités de recherche (COM(2013)0493 – C7-0220/2013 – 2013/0232(COD))</w:t>
      </w:r>
      <w:r w:rsidRPr="001953AA">
        <w:rPr>
          <w:lang w:val="fr-FR"/>
        </w:rPr>
        <w:tab/>
      </w:r>
      <w:r>
        <w:fldChar w:fldCharType="begin"/>
      </w:r>
      <w:r w:rsidRPr="001953AA">
        <w:rPr>
          <w:lang w:val="fr-FR"/>
        </w:rPr>
        <w:instrText xml:space="preserve"> PAGEREF _Toc385343062 \h </w:instrText>
      </w:r>
      <w:r>
        <w:fldChar w:fldCharType="separate"/>
      </w:r>
      <w:r w:rsidRPr="001953AA">
        <w:rPr>
          <w:lang w:val="fr-FR"/>
        </w:rPr>
        <w:t>96</w:t>
      </w:r>
      <w:r>
        <w:fldChar w:fldCharType="end"/>
      </w:r>
    </w:p>
    <w:p w:rsidR="001953AA" w:rsidRPr="00075179" w:rsidRDefault="001953AA">
      <w:pPr>
        <w:pStyle w:val="TOC1"/>
        <w:tabs>
          <w:tab w:val="right" w:leader="dot" w:pos="9232"/>
        </w:tabs>
        <w:rPr>
          <w:rFonts w:ascii="Calibri" w:hAnsi="Calibri"/>
          <w:b w:val="0"/>
          <w:sz w:val="22"/>
          <w:szCs w:val="22"/>
          <w:lang w:val="fr-FR" w:eastAsia="fr-FR"/>
        </w:rPr>
      </w:pPr>
      <w:r w:rsidRPr="001953AA">
        <w:rPr>
          <w:lang w:val="fr-FR"/>
        </w:rPr>
        <w:t>P7_TA-PROV(2014)0365</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Programme européen d'innovation et de recherche en métrologie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(A7-0063/2014 - Rapporteure: Niki Tzavela)</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décision du Parlement européen et du Conseil relative à la participation de l'Union à un programme européen d'innovation et de recherche en métrologie entrepris conjointement par plusieurs États membres (COM(2013)0497 – C7-0221/2013 – 2013/0242(COD))</w:t>
      </w:r>
      <w:r w:rsidRPr="001953AA">
        <w:rPr>
          <w:lang w:val="fr-FR"/>
        </w:rPr>
        <w:tab/>
      </w:r>
      <w:r>
        <w:fldChar w:fldCharType="begin"/>
      </w:r>
      <w:r w:rsidRPr="001953AA">
        <w:rPr>
          <w:lang w:val="fr-FR"/>
        </w:rPr>
        <w:instrText xml:space="preserve"> PAGEREF _Toc385343066 \h </w:instrText>
      </w:r>
      <w:r>
        <w:fldChar w:fldCharType="separate"/>
      </w:r>
      <w:r w:rsidRPr="001953AA">
        <w:rPr>
          <w:lang w:val="fr-FR"/>
        </w:rPr>
        <w:t>127</w:t>
      </w:r>
      <w:r>
        <w:fldChar w:fldCharType="end"/>
      </w:r>
    </w:p>
    <w:p w:rsidR="001953AA" w:rsidRPr="00075179" w:rsidRDefault="001953AA">
      <w:pPr>
        <w:pStyle w:val="TOC1"/>
        <w:tabs>
          <w:tab w:val="right" w:leader="dot" w:pos="9232"/>
        </w:tabs>
        <w:rPr>
          <w:rFonts w:ascii="Calibri" w:hAnsi="Calibri"/>
          <w:b w:val="0"/>
          <w:sz w:val="22"/>
          <w:szCs w:val="22"/>
          <w:lang w:val="fr-FR" w:eastAsia="fr-FR"/>
        </w:rPr>
      </w:pPr>
      <w:r w:rsidRPr="001953AA">
        <w:rPr>
          <w:lang w:val="fr-FR"/>
        </w:rPr>
        <w:t>P7_TA-PROV(2014)0366</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Programme de partenariat des pays européens et en développement sur les essais cliniques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(A7-0064/2014 - Rapporteure: Vicky Ford)</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décision du Parlement européen et du Conseil relative à la participation de l'Union à un second programme "Partenariat des pays européens et en développement sur les essais cliniques" entrepris conjointement par plusieurs États membres (COM(2013)0498 – C7-0222/2013 – 2013/0243(COD))</w:t>
      </w:r>
      <w:r w:rsidRPr="001953AA">
        <w:rPr>
          <w:lang w:val="fr-FR"/>
        </w:rPr>
        <w:tab/>
      </w:r>
      <w:r>
        <w:fldChar w:fldCharType="begin"/>
      </w:r>
      <w:r w:rsidRPr="001953AA">
        <w:rPr>
          <w:lang w:val="fr-FR"/>
        </w:rPr>
        <w:instrText xml:space="preserve"> PAGEREF _Toc385343070 \h </w:instrText>
      </w:r>
      <w:r>
        <w:fldChar w:fldCharType="separate"/>
      </w:r>
      <w:r w:rsidRPr="001953AA">
        <w:rPr>
          <w:lang w:val="fr-FR"/>
        </w:rPr>
        <w:t>162</w:t>
      </w:r>
      <w:r>
        <w:fldChar w:fldCharType="end"/>
      </w:r>
    </w:p>
    <w:p w:rsidR="001953AA" w:rsidRPr="00075179" w:rsidRDefault="001953AA">
      <w:pPr>
        <w:pStyle w:val="TOC1"/>
        <w:tabs>
          <w:tab w:val="right" w:leader="dot" w:pos="9232"/>
        </w:tabs>
        <w:rPr>
          <w:rFonts w:ascii="Calibri" w:hAnsi="Calibri"/>
          <w:b w:val="0"/>
          <w:sz w:val="22"/>
          <w:szCs w:val="22"/>
          <w:lang w:val="fr-FR" w:eastAsia="fr-FR"/>
        </w:rPr>
      </w:pPr>
      <w:r w:rsidRPr="001953AA">
        <w:rPr>
          <w:lang w:val="fr-FR"/>
        </w:rPr>
        <w:t>P7_TA-PROV(2014)0367</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Ordonnance européenne de saisie conservatoire des comptes bancaires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(A7-0227/2013 - Rapporteur: Raffaele Baldassarre)</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règlement du Parlement européen et du Conseil portant création d'une ordonnance européenne de saisie conservatoire des comptes bancaires, destinée à faciliter le recouvrement transfrontière de créances en matière civile et commerciale (COM(2011)0445 – C7-0211/2011 – 2011/0204(COD))</w:t>
      </w:r>
      <w:r w:rsidRPr="001953AA">
        <w:rPr>
          <w:lang w:val="fr-FR"/>
        </w:rPr>
        <w:tab/>
      </w:r>
      <w:r>
        <w:fldChar w:fldCharType="begin"/>
      </w:r>
      <w:r w:rsidRPr="001953AA">
        <w:rPr>
          <w:lang w:val="fr-FR"/>
        </w:rPr>
        <w:instrText xml:space="preserve"> PAGEREF _Toc385343074 \h </w:instrText>
      </w:r>
      <w:r>
        <w:fldChar w:fldCharType="separate"/>
      </w:r>
      <w:r w:rsidRPr="001953AA">
        <w:rPr>
          <w:lang w:val="fr-FR"/>
        </w:rPr>
        <w:t>209</w:t>
      </w:r>
      <w:r>
        <w:fldChar w:fldCharType="end"/>
      </w:r>
    </w:p>
    <w:p w:rsidR="001953AA" w:rsidRPr="00075179" w:rsidRDefault="001953AA">
      <w:pPr>
        <w:pStyle w:val="TOC1"/>
        <w:tabs>
          <w:tab w:val="right" w:leader="dot" w:pos="9232"/>
        </w:tabs>
        <w:rPr>
          <w:rFonts w:ascii="Calibri" w:hAnsi="Calibri"/>
          <w:b w:val="0"/>
          <w:sz w:val="22"/>
          <w:szCs w:val="22"/>
          <w:lang w:val="fr-FR" w:eastAsia="fr-FR"/>
        </w:rPr>
      </w:pPr>
      <w:r w:rsidRPr="001953AA">
        <w:rPr>
          <w:lang w:val="fr-FR"/>
        </w:rPr>
        <w:t>P7_TA-PROV(2014)0368</w:t>
      </w:r>
    </w:p>
    <w:p w:rsidR="001953AA" w:rsidRPr="00075179" w:rsidRDefault="001953AA">
      <w:pPr>
        <w:pStyle w:val="TOC2"/>
        <w:tabs>
          <w:tab w:val="right" w:leader="dot" w:pos="9232"/>
        </w:tabs>
        <w:rPr>
          <w:rFonts w:ascii="Calibri" w:hAnsi="Calibri"/>
          <w:b w:val="0"/>
          <w:sz w:val="22"/>
          <w:szCs w:val="22"/>
          <w:lang w:val="fr-FR" w:eastAsia="fr-FR"/>
        </w:rPr>
      </w:pPr>
      <w:r w:rsidRPr="001953AA">
        <w:rPr>
          <w:lang w:val="fr-FR"/>
        </w:rPr>
        <w:t xml:space="preserve">Publication d'informations non financières et d'informations relatives à la </w:t>
      </w:r>
      <w:bookmarkStart w:id="1" w:name="_GoBack"/>
      <w:r w:rsidRPr="001953AA">
        <w:rPr>
          <w:lang w:val="fr-FR"/>
        </w:rPr>
        <w:t>diversité</w:t>
      </w:r>
      <w:bookmarkEnd w:id="1"/>
      <w:r w:rsidRPr="001953AA">
        <w:rPr>
          <w:lang w:val="fr-FR"/>
        </w:rPr>
        <w:t xml:space="preserve"> par certaines grandes sociétés et certains groupes ***I</w:t>
      </w:r>
    </w:p>
    <w:p w:rsidR="001953AA" w:rsidRPr="00075179" w:rsidRDefault="001953AA">
      <w:pPr>
        <w:pStyle w:val="TOC3"/>
        <w:tabs>
          <w:tab w:val="right" w:leader="dot" w:pos="9232"/>
        </w:tabs>
        <w:rPr>
          <w:rFonts w:ascii="Calibri" w:hAnsi="Calibri"/>
          <w:sz w:val="22"/>
          <w:szCs w:val="22"/>
          <w:lang w:val="fr-FR" w:eastAsia="fr-FR"/>
        </w:rPr>
      </w:pPr>
      <w:r w:rsidRPr="001953AA">
        <w:rPr>
          <w:i/>
          <w:lang w:val="fr-FR"/>
        </w:rPr>
        <w:t>(A7-0006/2014 - Rapporteure: Raffaele Baldassarre)</w:t>
      </w:r>
    </w:p>
    <w:p w:rsidR="001953AA" w:rsidRPr="00075179" w:rsidRDefault="001953AA">
      <w:pPr>
        <w:pStyle w:val="TOC4"/>
        <w:tabs>
          <w:tab w:val="right" w:leader="dot" w:pos="9232"/>
        </w:tabs>
        <w:rPr>
          <w:rFonts w:ascii="Calibri" w:hAnsi="Calibri"/>
          <w:sz w:val="22"/>
          <w:szCs w:val="22"/>
          <w:lang w:val="fr-FR" w:eastAsia="fr-FR"/>
        </w:rPr>
      </w:pPr>
      <w:r w:rsidRPr="001953AA">
        <w:rPr>
          <w:lang w:val="fr-FR"/>
        </w:rPr>
        <w:t>Résolution législative du Parlement européen du 15 avril 2014 sur la proposition de directive du Parlement européen et du Conseil modifiant les directives 78/660/CEE et 83/349/CEE du Conseil en ce qui concerne la publication d'informations non financières et d'informations relatives à la diversité par certaines grandes sociétés et certains groupes (COM(2013)0207 – C7-0103/2013 – 2013/0110(COD))</w:t>
      </w:r>
      <w:r w:rsidRPr="001953AA">
        <w:rPr>
          <w:lang w:val="fr-FR"/>
        </w:rPr>
        <w:tab/>
      </w:r>
      <w:r>
        <w:fldChar w:fldCharType="begin"/>
      </w:r>
      <w:r w:rsidRPr="001953AA">
        <w:rPr>
          <w:lang w:val="fr-FR"/>
        </w:rPr>
        <w:instrText xml:space="preserve"> PAGEREF _Toc385343078 \h </w:instrText>
      </w:r>
      <w:r>
        <w:fldChar w:fldCharType="separate"/>
      </w:r>
      <w:r w:rsidRPr="001953AA">
        <w:rPr>
          <w:lang w:val="fr-FR"/>
        </w:rPr>
        <w:t>312</w:t>
      </w:r>
      <w:r>
        <w:fldChar w:fldCharType="end"/>
      </w:r>
    </w:p>
    <w:p w:rsidR="00B81E3A" w:rsidRDefault="00B81E3A">
      <w:pPr>
        <w:rPr>
          <w:noProof w:val="0"/>
          <w:lang w:val="fr-FR"/>
        </w:rPr>
      </w:pPr>
      <w:r>
        <w:rPr>
          <w:noProof w:val="0"/>
          <w:lang w:val="fr-FR"/>
        </w:rPr>
        <w:fldChar w:fldCharType="end"/>
      </w:r>
    </w:p>
    <w:p w:rsidR="00E56901" w:rsidRPr="002022AB" w:rsidRDefault="00E56901">
      <w:pPr>
        <w:rPr>
          <w:noProof w:val="0"/>
          <w:lang w:val="fr-FR"/>
        </w:rPr>
      </w:pPr>
    </w:p>
    <w:p w:rsidR="00B81E3A" w:rsidRPr="002022AB" w:rsidRDefault="00B81E3A">
      <w:pPr>
        <w:rPr>
          <w:noProof w:val="0"/>
          <w:lang w:val="fr-FR"/>
        </w:rPr>
      </w:pPr>
    </w:p>
    <w:p w:rsidR="00B81E3A" w:rsidRPr="002022AB" w:rsidRDefault="00B81E3A">
      <w:pPr>
        <w:rPr>
          <w:noProof w:val="0"/>
          <w:lang w:val="fr-FR"/>
        </w:rPr>
      </w:pPr>
    </w:p>
    <w:p w:rsidR="00B81E3A" w:rsidRPr="002022AB" w:rsidRDefault="00B81E3A">
      <w:pPr>
        <w:rPr>
          <w:noProof w:val="0"/>
          <w:lang w:val="fr-FR"/>
        </w:rPr>
        <w:sectPr w:rsidR="00B81E3A" w:rsidRPr="002022AB" w:rsidSect="002022AB">
          <w:footerReference w:type="even" r:id="rId16"/>
          <w:footerReference w:type="default" r:id="rId17"/>
          <w:footnotePr>
            <w:numRestart w:val="eachPage"/>
          </w:footnotePr>
          <w:pgSz w:w="11907" w:h="16840" w:code="9"/>
          <w:pgMar w:top="1134" w:right="1247" w:bottom="1814" w:left="1418" w:header="720" w:footer="0" w:gutter="0"/>
          <w:pgNumType w:fmt="upperRoman" w:start="1"/>
          <w:cols w:space="720"/>
        </w:sectPr>
      </w:pPr>
    </w:p>
    <w:p w:rsidR="002022AB" w:rsidRDefault="002022AB" w:rsidP="00075179">
      <w:pPr>
        <w:pStyle w:val="ATHeading1"/>
      </w:pPr>
      <w:bookmarkStart w:id="2" w:name="TANumber"/>
      <w:bookmarkStart w:id="3" w:name="_Toc385342976"/>
      <w:bookmarkStart w:id="4" w:name="_Toc385343051"/>
      <w:r>
        <w:t>P7_TA-PROV(2014)0362</w:t>
      </w:r>
      <w:bookmarkEnd w:id="2"/>
      <w:bookmarkEnd w:id="3"/>
      <w:bookmarkEnd w:id="4"/>
    </w:p>
    <w:p w:rsidR="002022AB" w:rsidRDefault="002022AB" w:rsidP="00075179">
      <w:pPr>
        <w:pStyle w:val="ATHeading2"/>
      </w:pPr>
      <w:bookmarkStart w:id="5" w:name="_Toc385342977"/>
      <w:bookmarkStart w:id="6" w:name="_Toc385343052"/>
      <w:r>
        <w:t xml:space="preserve">Produits agricoles sur le marché intérieur et dans les pays tiers </w:t>
      </w:r>
      <w:bookmarkStart w:id="7" w:name="Etoiles"/>
      <w:r>
        <w:t>***I</w:t>
      </w:r>
      <w:bookmarkEnd w:id="5"/>
      <w:bookmarkEnd w:id="6"/>
      <w:bookmarkEnd w:id="7"/>
    </w:p>
    <w:p w:rsidR="002022AB" w:rsidRDefault="002022AB" w:rsidP="00075179">
      <w:pPr>
        <w:rPr>
          <w:i/>
          <w:vanish/>
        </w:rPr>
      </w:pPr>
      <w:r>
        <w:rPr>
          <w:i/>
        </w:rPr>
        <w:fldChar w:fldCharType="begin"/>
      </w:r>
      <w:r>
        <w:rPr>
          <w:i/>
        </w:rPr>
        <w:instrText xml:space="preserve"> TC"</w:instrText>
      </w:r>
      <w:bookmarkStart w:id="8" w:name="_Toc385342978"/>
      <w:bookmarkStart w:id="9" w:name="_Toc385343053"/>
      <w:r>
        <w:rPr>
          <w:i/>
        </w:rPr>
        <w:instrText>(</w:instrText>
      </w:r>
      <w:bookmarkStart w:id="10" w:name="DocNumber"/>
      <w:r>
        <w:rPr>
          <w:i/>
        </w:rPr>
        <w:instrText>A7-0217/2014</w:instrText>
      </w:r>
      <w:bookmarkEnd w:id="10"/>
      <w:r>
        <w:rPr>
          <w:i/>
        </w:rPr>
        <w:instrText xml:space="preserve"> - Rapporteure: Esther Herranz García)</w:instrText>
      </w:r>
      <w:bookmarkEnd w:id="8"/>
      <w:bookmarkEnd w:id="9"/>
      <w:r>
        <w:rPr>
          <w:i/>
        </w:rPr>
        <w:instrText xml:space="preserve">"\l3 \n&gt; \* MERGEFORMAT </w:instrText>
      </w:r>
      <w:r>
        <w:rPr>
          <w:i/>
        </w:rPr>
        <w:fldChar w:fldCharType="end"/>
      </w:r>
    </w:p>
    <w:p w:rsidR="002022AB" w:rsidRDefault="002022AB" w:rsidP="00075179">
      <w:pPr>
        <w:rPr>
          <w:vanish/>
        </w:rPr>
      </w:pPr>
      <w:bookmarkStart w:id="11" w:name="Commission"/>
      <w:r w:rsidRPr="004E6696">
        <w:rPr>
          <w:vanish/>
        </w:rPr>
        <w:t>Commission de l'agriculture et du développement rural</w:t>
      </w:r>
      <w:bookmarkEnd w:id="11"/>
    </w:p>
    <w:p w:rsidR="002022AB" w:rsidRDefault="002022AB" w:rsidP="00075179">
      <w:pPr>
        <w:rPr>
          <w:vanish/>
        </w:rPr>
      </w:pPr>
      <w:bookmarkStart w:id="12" w:name="PE"/>
      <w:r w:rsidRPr="004E6696">
        <w:rPr>
          <w:vanish/>
        </w:rPr>
        <w:t>PE524.588</w:t>
      </w:r>
      <w:bookmarkEnd w:id="12"/>
    </w:p>
    <w:p w:rsidR="002022AB" w:rsidRDefault="002022AB" w:rsidP="00075179">
      <w:pPr>
        <w:pStyle w:val="ATHeading3"/>
      </w:pPr>
      <w:bookmarkStart w:id="13" w:name="Sujet"/>
      <w:bookmarkStart w:id="14" w:name="_Toc385343054"/>
      <w:r>
        <w:t>Résolution législative du Parlement européen du 15 avril 2014 sur la proposition de règlement du Parlement européen et du Conseil relatif à des actions d'information et de promotion en faveur des produits agricoles sur le marché intérieur et dans les pays tiers</w:t>
      </w:r>
      <w:bookmarkEnd w:id="13"/>
      <w:r>
        <w:t xml:space="preserve"> </w:t>
      </w:r>
      <w:bookmarkStart w:id="15" w:name="References"/>
      <w:r>
        <w:t>(COM(2013)0812 – C7-0416/2013 – 2013/0398(COD))</w:t>
      </w:r>
      <w:bookmarkEnd w:id="14"/>
      <w:bookmarkEnd w:id="15"/>
    </w:p>
    <w:p w:rsidR="002022AB" w:rsidRDefault="002022AB" w:rsidP="00075179"/>
    <w:p w:rsidR="002022AB" w:rsidRPr="00D23FD0" w:rsidRDefault="002022AB" w:rsidP="00075179">
      <w:pPr>
        <w:pStyle w:val="Normal12Bold"/>
        <w:rPr>
          <w:szCs w:val="24"/>
        </w:rPr>
      </w:pPr>
      <w:bookmarkStart w:id="16" w:name="TextBodyBegin"/>
      <w:bookmarkEnd w:id="16"/>
      <w:r w:rsidRPr="00D23FD0">
        <w:rPr>
          <w:noProof/>
          <w:szCs w:val="24"/>
        </w:rPr>
        <w:t>(Procédure législative ordinaire:</w:t>
      </w:r>
      <w:r w:rsidRPr="00D23FD0">
        <w:rPr>
          <w:szCs w:val="24"/>
        </w:rPr>
        <w:t xml:space="preserve"> </w:t>
      </w:r>
      <w:r w:rsidRPr="00D23FD0">
        <w:rPr>
          <w:noProof/>
          <w:szCs w:val="24"/>
        </w:rPr>
        <w:t>première lecture)</w:t>
      </w:r>
    </w:p>
    <w:p w:rsidR="002022AB" w:rsidRPr="00D23FD0" w:rsidRDefault="002022AB" w:rsidP="00075179">
      <w:pPr>
        <w:pStyle w:val="Normal12"/>
        <w:spacing w:before="360"/>
        <w:rPr>
          <w:szCs w:val="24"/>
        </w:rPr>
      </w:pPr>
      <w:r w:rsidRPr="00D23FD0">
        <w:rPr>
          <w:i/>
          <w:noProof/>
          <w:szCs w:val="24"/>
        </w:rPr>
        <w:t>Le Parlement européen</w:t>
      </w:r>
      <w:r w:rsidRPr="00D23FD0">
        <w:rPr>
          <w:noProof/>
          <w:szCs w:val="24"/>
        </w:rPr>
        <w:t>,</w:t>
      </w:r>
    </w:p>
    <w:p w:rsidR="002022AB" w:rsidRPr="00D23FD0" w:rsidRDefault="002022AB" w:rsidP="00075179">
      <w:pPr>
        <w:pStyle w:val="Normal12Hanging"/>
        <w:widowControl/>
        <w:rPr>
          <w:szCs w:val="24"/>
        </w:rPr>
      </w:pPr>
      <w:r w:rsidRPr="00D23FD0">
        <w:rPr>
          <w:szCs w:val="24"/>
        </w:rPr>
        <w:t>–</w:t>
      </w:r>
      <w:r w:rsidRPr="00D23FD0">
        <w:rPr>
          <w:szCs w:val="24"/>
        </w:rPr>
        <w:tab/>
      </w:r>
      <w:r w:rsidRPr="00D23FD0">
        <w:rPr>
          <w:noProof/>
          <w:szCs w:val="24"/>
        </w:rPr>
        <w:t>vu la proposition de la Commission au Parlement européen et au Conseil (COM(2013)0812),</w:t>
      </w:r>
    </w:p>
    <w:p w:rsidR="002022AB" w:rsidRPr="00D23FD0" w:rsidRDefault="002022AB" w:rsidP="00075179">
      <w:pPr>
        <w:pStyle w:val="Normal12Hanging"/>
        <w:widowControl/>
        <w:rPr>
          <w:szCs w:val="24"/>
        </w:rPr>
      </w:pPr>
      <w:r w:rsidRPr="00D23FD0">
        <w:rPr>
          <w:szCs w:val="24"/>
        </w:rPr>
        <w:t>–</w:t>
      </w:r>
      <w:r w:rsidRPr="00D23FD0">
        <w:rPr>
          <w:szCs w:val="24"/>
        </w:rPr>
        <w:tab/>
      </w:r>
      <w:r w:rsidRPr="00D23FD0">
        <w:rPr>
          <w:noProof/>
          <w:szCs w:val="24"/>
        </w:rPr>
        <w:t>vu l'article 294, paragraphe 2, l</w:t>
      </w:r>
      <w:r>
        <w:rPr>
          <w:noProof/>
          <w:szCs w:val="24"/>
        </w:rPr>
        <w:t>'</w:t>
      </w:r>
      <w:r w:rsidRPr="00D23FD0">
        <w:rPr>
          <w:noProof/>
          <w:szCs w:val="24"/>
        </w:rPr>
        <w:t xml:space="preserve">article 42 et </w:t>
      </w:r>
      <w:r>
        <w:rPr>
          <w:noProof/>
          <w:szCs w:val="24"/>
        </w:rPr>
        <w:t xml:space="preserve">l'article </w:t>
      </w:r>
      <w:r w:rsidRPr="00D23FD0">
        <w:rPr>
          <w:noProof/>
          <w:szCs w:val="24"/>
        </w:rPr>
        <w:t>43, paragraphe 2, du traité sur le fonctionnement de l'Union européenne, conformément auxquels la proposition lui a été présentée par la Commission (C7-0416/2013),</w:t>
      </w:r>
    </w:p>
    <w:p w:rsidR="002022AB" w:rsidRPr="00D23FD0" w:rsidRDefault="002022AB" w:rsidP="00075179">
      <w:pPr>
        <w:pStyle w:val="Normal12Hanging"/>
        <w:widowControl/>
        <w:rPr>
          <w:szCs w:val="24"/>
        </w:rPr>
      </w:pPr>
      <w:r w:rsidRPr="00D23FD0">
        <w:rPr>
          <w:szCs w:val="24"/>
        </w:rPr>
        <w:t>–</w:t>
      </w:r>
      <w:r w:rsidRPr="00D23FD0">
        <w:rPr>
          <w:szCs w:val="24"/>
        </w:rPr>
        <w:tab/>
      </w:r>
      <w:r w:rsidRPr="00D23FD0">
        <w:rPr>
          <w:noProof/>
          <w:szCs w:val="24"/>
        </w:rPr>
        <w:t>vu l'article 294, paragraphe 3, du traité sur le fonctionnement de l'Union européenne,</w:t>
      </w:r>
    </w:p>
    <w:p w:rsidR="002022AB" w:rsidRDefault="002022AB" w:rsidP="00075179">
      <w:pPr>
        <w:pStyle w:val="Normal12Hanging"/>
        <w:widowControl/>
        <w:rPr>
          <w:noProof/>
          <w:szCs w:val="24"/>
        </w:rPr>
      </w:pPr>
      <w:r w:rsidRPr="00D23FD0">
        <w:rPr>
          <w:szCs w:val="24"/>
        </w:rPr>
        <w:t>–</w:t>
      </w:r>
      <w:r w:rsidRPr="00D23FD0">
        <w:rPr>
          <w:szCs w:val="24"/>
        </w:rPr>
        <w:tab/>
      </w:r>
      <w:r w:rsidRPr="00D23FD0">
        <w:rPr>
          <w:noProof/>
          <w:szCs w:val="24"/>
        </w:rPr>
        <w:t>après consultation du Comité économique et social européen,</w:t>
      </w:r>
    </w:p>
    <w:p w:rsidR="002022AB" w:rsidRDefault="002022AB" w:rsidP="00075179">
      <w:pPr>
        <w:pStyle w:val="Normal12Hanging"/>
        <w:widowControl/>
      </w:pPr>
      <w:r w:rsidRPr="00B04248">
        <w:t>–</w:t>
      </w:r>
      <w:r w:rsidRPr="00B04248">
        <w:tab/>
        <w:t xml:space="preserve">vu l'engagement pris par le représentant du Conseil, par lettre du </w:t>
      </w:r>
      <w:r>
        <w:t>2 avril</w:t>
      </w:r>
      <w:r w:rsidRPr="00B04248">
        <w:t> 201</w:t>
      </w:r>
      <w:r>
        <w:t>4</w:t>
      </w:r>
      <w:r w:rsidRPr="00B04248">
        <w:t xml:space="preserve">, d'approuver la position du </w:t>
      </w:r>
      <w:r w:rsidRPr="008F1BDF">
        <w:rPr>
          <w:noProof/>
          <w:szCs w:val="24"/>
        </w:rPr>
        <w:t>Parlemen</w:t>
      </w:r>
      <w:r>
        <w:rPr>
          <w:noProof/>
          <w:szCs w:val="24"/>
        </w:rPr>
        <w:t>t</w:t>
      </w:r>
      <w:r w:rsidRPr="00B04248">
        <w:t xml:space="preserve"> européen, conformément à l'article 294, paragraphe 4, du traité sur le fonctionnement de l'Union européenne,</w:t>
      </w:r>
    </w:p>
    <w:p w:rsidR="002022AB" w:rsidRPr="00D23FD0" w:rsidRDefault="002022AB" w:rsidP="00075179">
      <w:pPr>
        <w:pStyle w:val="Normal12Hanging"/>
        <w:widowControl/>
        <w:rPr>
          <w:szCs w:val="24"/>
        </w:rPr>
      </w:pPr>
      <w:r w:rsidRPr="00D23FD0">
        <w:rPr>
          <w:szCs w:val="24"/>
        </w:rPr>
        <w:t>–</w:t>
      </w:r>
      <w:r w:rsidRPr="00D23FD0">
        <w:rPr>
          <w:szCs w:val="24"/>
        </w:rPr>
        <w:tab/>
      </w:r>
      <w:r w:rsidRPr="00D23FD0">
        <w:rPr>
          <w:noProof/>
          <w:szCs w:val="24"/>
        </w:rPr>
        <w:t>vu l'article 55 de son règlement,</w:t>
      </w:r>
    </w:p>
    <w:p w:rsidR="002022AB" w:rsidRPr="00D23FD0" w:rsidRDefault="002022AB" w:rsidP="00075179">
      <w:pPr>
        <w:pStyle w:val="Normal12Hanging"/>
        <w:widowControl/>
        <w:rPr>
          <w:szCs w:val="24"/>
        </w:rPr>
      </w:pPr>
      <w:r w:rsidRPr="00D23FD0">
        <w:rPr>
          <w:szCs w:val="24"/>
        </w:rPr>
        <w:t>–</w:t>
      </w:r>
      <w:r w:rsidRPr="00D23FD0">
        <w:rPr>
          <w:szCs w:val="24"/>
        </w:rPr>
        <w:tab/>
      </w:r>
      <w:r w:rsidRPr="00D23FD0">
        <w:rPr>
          <w:noProof/>
          <w:szCs w:val="24"/>
        </w:rPr>
        <w:t>vu le rapport de la commission de l'agriculture et du développement rural (A7</w:t>
      </w:r>
      <w:r w:rsidRPr="00D23FD0">
        <w:rPr>
          <w:noProof/>
          <w:szCs w:val="24"/>
        </w:rPr>
        <w:noBreakHyphen/>
        <w:t>0217/2014),</w:t>
      </w:r>
    </w:p>
    <w:p w:rsidR="002022AB" w:rsidRPr="00D23FD0" w:rsidRDefault="002022AB" w:rsidP="00075179">
      <w:pPr>
        <w:pStyle w:val="Normal12Hanging"/>
        <w:widowControl/>
        <w:rPr>
          <w:szCs w:val="24"/>
        </w:rPr>
      </w:pPr>
      <w:r w:rsidRPr="00D23FD0">
        <w:rPr>
          <w:szCs w:val="24"/>
        </w:rPr>
        <w:t>1.</w:t>
      </w:r>
      <w:r w:rsidRPr="00D23FD0">
        <w:rPr>
          <w:szCs w:val="24"/>
        </w:rPr>
        <w:tab/>
      </w:r>
      <w:r w:rsidRPr="00D23FD0">
        <w:rPr>
          <w:noProof/>
          <w:szCs w:val="24"/>
        </w:rPr>
        <w:t>arrête la position en première lecture figurant ci-après;</w:t>
      </w:r>
    </w:p>
    <w:p w:rsidR="002022AB" w:rsidRPr="00D23FD0" w:rsidRDefault="002022AB" w:rsidP="00075179">
      <w:pPr>
        <w:pStyle w:val="Normal12Hanging"/>
        <w:widowControl/>
        <w:rPr>
          <w:szCs w:val="24"/>
        </w:rPr>
      </w:pPr>
      <w:r w:rsidRPr="00D23FD0">
        <w:rPr>
          <w:szCs w:val="24"/>
        </w:rPr>
        <w:t>2.</w:t>
      </w:r>
      <w:r w:rsidRPr="00D23FD0">
        <w:rPr>
          <w:szCs w:val="24"/>
        </w:rPr>
        <w:tab/>
      </w:r>
      <w:r w:rsidRPr="00D23FD0">
        <w:rPr>
          <w:noProof/>
          <w:szCs w:val="24"/>
        </w:rPr>
        <w:t>demande à la Commission de le saisir à nouveau, si elle entend modifier de manière substantielle sa proposition ou la remplacer par un autre texte;</w:t>
      </w:r>
    </w:p>
    <w:p w:rsidR="002022AB" w:rsidRDefault="002022AB" w:rsidP="00075179">
      <w:pPr>
        <w:pStyle w:val="Normal12Hanging"/>
        <w:widowControl/>
        <w:rPr>
          <w:noProof/>
          <w:szCs w:val="24"/>
        </w:rPr>
      </w:pPr>
      <w:r w:rsidRPr="00D23FD0">
        <w:rPr>
          <w:szCs w:val="24"/>
        </w:rPr>
        <w:t>3.</w:t>
      </w:r>
      <w:r w:rsidRPr="00D23FD0">
        <w:rPr>
          <w:szCs w:val="24"/>
        </w:rPr>
        <w:tab/>
      </w:r>
      <w:r w:rsidRPr="00D23FD0">
        <w:rPr>
          <w:noProof/>
          <w:szCs w:val="24"/>
        </w:rPr>
        <w:t>charge son Président de transmettre la position du Parlement au Conseil et à la Commission ainsi qu'aux parlements nationaux.</w:t>
      </w:r>
    </w:p>
    <w:p w:rsidR="002022AB" w:rsidRPr="00C617B0" w:rsidRDefault="002022AB" w:rsidP="00075179">
      <w:pPr>
        <w:spacing w:after="240"/>
        <w:rPr>
          <w:b/>
        </w:rPr>
      </w:pPr>
      <w:r>
        <w:br w:type="page"/>
      </w:r>
      <w:r w:rsidRPr="00C617B0">
        <w:rPr>
          <w:b/>
        </w:rPr>
        <w:t>P7_TC1-COD(</w:t>
      </w:r>
      <w:r>
        <w:rPr>
          <w:b/>
        </w:rPr>
        <w:t>2013</w:t>
      </w:r>
      <w:r w:rsidRPr="00C617B0">
        <w:rPr>
          <w:b/>
        </w:rPr>
        <w:t>)</w:t>
      </w:r>
      <w:r>
        <w:rPr>
          <w:b/>
        </w:rPr>
        <w:t>0398</w:t>
      </w:r>
    </w:p>
    <w:p w:rsidR="002022AB" w:rsidRPr="003B458D" w:rsidRDefault="002022AB" w:rsidP="00075179">
      <w:pPr>
        <w:spacing w:after="240"/>
        <w:rPr>
          <w:b/>
          <w:snapToGrid w:val="0"/>
          <w:szCs w:val="24"/>
          <w:lang w:eastAsia="fr-FR"/>
        </w:rPr>
      </w:pPr>
      <w:r w:rsidRPr="00C92B87">
        <w:rPr>
          <w:b/>
        </w:rPr>
        <w:t xml:space="preserve">Position du Parlement européen arrêtée en première lecture </w:t>
      </w:r>
      <w:r w:rsidRPr="003B458D">
        <w:rPr>
          <w:b/>
        </w:rPr>
        <w:t xml:space="preserve">le 15 avril 2014 en vue de l’adoption du règlement (UE) n° .../2014 du Parlement européen et du Conseil </w:t>
      </w:r>
      <w:r w:rsidRPr="003B458D">
        <w:rPr>
          <w:b/>
          <w:snapToGrid w:val="0"/>
          <w:szCs w:val="24"/>
          <w:lang w:eastAsia="fr-FR"/>
        </w:rPr>
        <w:t>relatif à des actions d'information et de promotion en faveur des produits agricoles sur le marché intérieur et dans les pays tiers</w:t>
      </w:r>
      <w:r w:rsidRPr="00CB79D3">
        <w:rPr>
          <w:rStyle w:val="FootnoteReference"/>
          <w:b/>
          <w:snapToGrid w:val="0"/>
          <w:szCs w:val="24"/>
          <w:lang w:eastAsia="fr-FR"/>
        </w:rPr>
        <w:footnoteReference w:customMarkFollows="1" w:id="1"/>
        <w:sym w:font="Symbol" w:char="F02A"/>
      </w:r>
    </w:p>
    <w:p w:rsidR="002022AB" w:rsidRPr="003B458D" w:rsidRDefault="002022AB" w:rsidP="00075179">
      <w:pPr>
        <w:spacing w:before="600" w:after="120" w:line="360" w:lineRule="auto"/>
        <w:jc w:val="both"/>
        <w:rPr>
          <w:snapToGrid w:val="0"/>
          <w:szCs w:val="24"/>
          <w:lang w:eastAsia="fr-FR"/>
        </w:rPr>
      </w:pPr>
      <w:r w:rsidRPr="003B458D">
        <w:rPr>
          <w:snapToGrid w:val="0"/>
          <w:szCs w:val="24"/>
          <w:lang w:eastAsia="fr-FR"/>
        </w:rPr>
        <w:t>LE PARLEMENT EUROPÉEN ET LE CONSEIL DE L'UNION EUROPÉENNE,</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vu le traité sur le fonctionnement de l'Union européenne, et notamment son article 42 et son article 43, paragraphe 2,</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vu la proposition de la Commission européenne,</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après transmission du projet d'acte législatif aux parlements nationaux,</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br w:type="page"/>
        <w:t>vu l'avis du Comité économique et social européen</w:t>
      </w:r>
      <w:r w:rsidRPr="003B458D">
        <w:rPr>
          <w:snapToGrid w:val="0"/>
          <w:szCs w:val="24"/>
          <w:vertAlign w:val="superscript"/>
          <w:lang w:eastAsia="fr-FR"/>
        </w:rPr>
        <w:footnoteReference w:id="2"/>
      </w:r>
      <w:r w:rsidRPr="003B458D">
        <w:rPr>
          <w:snapToGrid w:val="0"/>
          <w:szCs w:val="24"/>
          <w:lang w:eastAsia="fr-FR"/>
        </w:rPr>
        <w:t xml:space="preserve">, </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vu l'avis du Comité des régions</w:t>
      </w:r>
      <w:r w:rsidRPr="003B458D">
        <w:rPr>
          <w:snapToGrid w:val="0"/>
          <w:szCs w:val="24"/>
          <w:vertAlign w:val="superscript"/>
          <w:lang w:eastAsia="fr-FR"/>
        </w:rPr>
        <w:footnoteReference w:id="3"/>
      </w:r>
      <w:r w:rsidRPr="003B458D">
        <w:rPr>
          <w:snapToGrid w:val="0"/>
          <w:szCs w:val="24"/>
          <w:lang w:eastAsia="fr-FR"/>
        </w:rPr>
        <w: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statuant conformément à la procédure législative ordinaire</w:t>
      </w:r>
      <w:r>
        <w:rPr>
          <w:rStyle w:val="FootnoteReference"/>
          <w:snapToGrid w:val="0"/>
          <w:szCs w:val="24"/>
          <w:lang w:eastAsia="fr-FR"/>
        </w:rPr>
        <w:footnoteReference w:id="4"/>
      </w:r>
      <w:r w:rsidRPr="003B458D">
        <w:rPr>
          <w:snapToGrid w:val="0"/>
          <w:szCs w:val="24"/>
          <w:lang w:eastAsia="fr-FR"/>
        </w:rPr>
        <w: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considérant ce qui suit: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En vertu du règlement (CE) n° 3/2008 du Conseil</w:t>
      </w:r>
      <w:r w:rsidRPr="003B458D">
        <w:rPr>
          <w:snapToGrid w:val="0"/>
          <w:szCs w:val="24"/>
          <w:vertAlign w:val="superscript"/>
          <w:lang w:eastAsia="fr-FR"/>
        </w:rPr>
        <w:footnoteReference w:id="5"/>
      </w:r>
      <w:r w:rsidRPr="003B458D">
        <w:rPr>
          <w:snapToGrid w:val="0"/>
          <w:szCs w:val="24"/>
          <w:lang w:eastAsia="fr-FR"/>
        </w:rPr>
        <w:t xml:space="preserve">, l'Union peut réaliser des actions d'information et de promotion sur le marché intérieur et dans les pays tiers pour les produits agricoles et leur mode de production, ainsi que certains produits alimentaires à base de produits agricoles.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r>
      <w:r w:rsidRPr="003B458D">
        <w:rPr>
          <w:b/>
          <w:i/>
          <w:snapToGrid w:val="0"/>
          <w:szCs w:val="24"/>
          <w:lang w:eastAsia="fr-FR"/>
        </w:rPr>
        <w:t>Compte tenu, d'une part, de l'expérience acquise et, d'autre part, des perspectives d'évolution du secteur agricole et des marchés tant à l'intérieur qu'à l'extérieur de l'Union, il y a lieu de réviser le régime établi par le règlement (CE) n° 3/2008 et de le rendre plus efficace et cohérent. Il convient en conséquence d'abroger le règlement (CE) n° 3/2008 et de le remplacer par un nouveau règlement.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(3)</w:t>
      </w:r>
      <w:r w:rsidRPr="003B458D">
        <w:rPr>
          <w:snapToGrid w:val="0"/>
          <w:szCs w:val="24"/>
          <w:lang w:eastAsia="fr-FR"/>
        </w:rPr>
        <w:tab/>
      </w:r>
      <w:r w:rsidRPr="003B458D">
        <w:rPr>
          <w:b/>
          <w:i/>
          <w:snapToGrid w:val="0"/>
          <w:szCs w:val="24"/>
          <w:lang w:eastAsia="fr-FR"/>
        </w:rPr>
        <w:t>L'objectif de ces actions est de renforcer la compétitivité du secteur agricole de l'Europe en recherchant une plus grande équité concurrentielle, tant sur le marché intérieur que dans les pays tiers. Plus précisément, les actions d'information et de promotion devraient tendre à relever le niveau des connaissances des consommateurs sur les mérites des produits et des modes de production agricole de l'Union et à généraliser la connaissance et la reconnaissance des systèmes de qualité de l'Union. De plus, elles devraient accroître la compétitivité et la consommation des produits agricoles de l'Union, renforcer leur notoriété tant dans l'Union qu'à l'extérieur et augmenter la part de marché de ces produits, en accordant une attention particulière aux marchés à fort potentiel de croissance.  En cas de grave perturbation du marché, de perte de confiance des consommateurs ou d'autres problèmes spécifiques, elles devraient contribuer à rétablir des conditions normales de marché. Il est souhaitable que de telles actions d'information et de promotion complètent et renforcent utilement les actions menées par les États membres.</w:t>
      </w:r>
    </w:p>
    <w:p w:rsidR="002022AB" w:rsidRPr="003B458D" w:rsidRDefault="002022AB" w:rsidP="00075179">
      <w:pPr>
        <w:spacing w:before="120" w:after="120" w:line="360" w:lineRule="auto"/>
        <w:ind w:left="851"/>
        <w:jc w:val="both"/>
        <w:rPr>
          <w:snapToGrid w:val="0"/>
          <w:szCs w:val="24"/>
          <w:lang w:eastAsia="fr-FR"/>
        </w:rPr>
      </w:pPr>
      <w:r w:rsidRPr="003B458D">
        <w:rPr>
          <w:b/>
          <w:i/>
          <w:snapToGrid w:val="0"/>
          <w:szCs w:val="24"/>
          <w:lang w:eastAsia="fr-FR"/>
        </w:rPr>
        <w:t>Pour atteindre leurs objectifs, elles devraient continuer d'avoir lieu tant dans l'Union qu'à l'extérieur.</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br w:type="page"/>
        <w:t>(4)</w:t>
      </w:r>
      <w:r w:rsidRPr="003B458D">
        <w:rPr>
          <w:b/>
          <w:i/>
          <w:snapToGrid w:val="0"/>
          <w:szCs w:val="24"/>
          <w:lang w:eastAsia="fr-FR"/>
        </w:rPr>
        <w:tab/>
        <w:t>En sus des informations sur les caractéristiques intrinsèques des produits agricoles et des produits alimentaires de l'Union, les actions admissibles peuvent aussi communiquer, de manière séduisante pour les consommateurs, des messages s'attachant, notamment, à la nutrition, au goût, à la tradition ou à la civilisation.</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(5)</w:t>
      </w:r>
      <w:r w:rsidRPr="003B458D">
        <w:rPr>
          <w:b/>
          <w:i/>
          <w:snapToGrid w:val="0"/>
          <w:szCs w:val="24"/>
          <w:lang w:eastAsia="fr-FR"/>
        </w:rPr>
        <w:tab/>
        <w:t>Les actions d'information et de promotion ne devraient pas être orientées en fonction de marques commerciales ou selon l'origine. Néanmoins, dans le but d'améliorer la qualité et l'efficacité des démonstrations, des dégustations et du matériel d'information et de promotion, il devrait être possible de mentionner la marque d'un produit et son origine, pourvu que soit respecté le principe de non-discrimination et que les actions ne tendent pas à encourager la consommation d'un produit au seul motif de son origine. En outre, les actions devraient respecter les principes généraux du droit européen et n'être pas assimilables à une restriction à la libre circulation des produits agricoles et des produits alimentaires, en contrevenant à l'article 34 du traité FUE. Il y a lieu de fixer des règles spécifiques sur la visibilité des marques et de l'origine par rapport au principal message d'une campagne de l'Union européenne.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(6)</w:t>
      </w:r>
      <w:r w:rsidRPr="003B458D">
        <w:rPr>
          <w:snapToGrid w:val="0"/>
          <w:szCs w:val="24"/>
          <w:lang w:eastAsia="fr-FR"/>
        </w:rPr>
        <w:tab/>
        <w:t>Il y a lieu de prévoir également des actions relatives à la valorisation de l'authenticité des produits de l'Union afin d'améliorer la connaissance des consommateurs sur les qualités des produits authentiques par rapport aux produits d'imitation et de contrefaçon; ceci contribuera significativement à la connaissance dans l'Union ainsi que dans les pays tiers des symboles, mentions et abréviations démontrant la participation aux systèmes européens de qualité établis par le règlement (UE) n° 1151/2012.</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(7)</w:t>
      </w:r>
      <w:r w:rsidRPr="003B458D">
        <w:rPr>
          <w:b/>
          <w:i/>
          <w:snapToGrid w:val="0"/>
          <w:szCs w:val="24"/>
          <w:lang w:eastAsia="fr-FR"/>
        </w:rPr>
        <w:tab/>
        <w:t xml:space="preserve">Étant donné que l'une des forces de la production alimentaire de l'Union réside dans la diversité de ses produits et dans leurs caractéristiques spécifiques, qui sont dues à l'existence de différentes zones géographiques et de différentes méthodes traditionnelles et qui permettent d'obtenir des saveurs uniques, offrant la diversité et l'authenticité que les consommateurs, tant de l'Union que d'ailleurs, recherchent de plus en plus.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(8)</w:t>
      </w:r>
      <w:r w:rsidRPr="003B458D">
        <w:rPr>
          <w:snapToGrid w:val="0"/>
          <w:szCs w:val="24"/>
          <w:lang w:eastAsia="fr-FR"/>
        </w:rPr>
        <w:tab/>
        <w:t xml:space="preserve">L'Union exporte principalement des produits agricoles finis parmi lesquels des produits agricoles hors annexe I du traité sur le fonctionnement de l'Union européenne ("le traité"). Il convient donc </w:t>
      </w:r>
      <w:r w:rsidRPr="003B458D">
        <w:rPr>
          <w:b/>
          <w:i/>
          <w:snapToGrid w:val="0"/>
          <w:szCs w:val="24"/>
          <w:lang w:eastAsia="fr-FR"/>
        </w:rPr>
        <w:t>d'étendre les actions</w:t>
      </w:r>
      <w:r w:rsidRPr="003B458D">
        <w:rPr>
          <w:snapToGrid w:val="0"/>
          <w:szCs w:val="24"/>
          <w:lang w:eastAsia="fr-FR"/>
        </w:rPr>
        <w:t xml:space="preserve"> d'information et de promotion </w:t>
      </w:r>
      <w:r w:rsidRPr="003B458D">
        <w:rPr>
          <w:b/>
          <w:i/>
          <w:snapToGrid w:val="0"/>
          <w:szCs w:val="24"/>
          <w:lang w:eastAsia="fr-FR"/>
        </w:rPr>
        <w:t>jusqu'à inclure</w:t>
      </w:r>
      <w:r w:rsidRPr="003B458D">
        <w:rPr>
          <w:snapToGrid w:val="0"/>
          <w:szCs w:val="24"/>
          <w:lang w:eastAsia="fr-FR"/>
        </w:rPr>
        <w:t xml:space="preserve"> certains produits </w:t>
      </w:r>
      <w:r w:rsidRPr="003B458D">
        <w:rPr>
          <w:b/>
          <w:i/>
          <w:snapToGrid w:val="0"/>
          <w:szCs w:val="24"/>
          <w:lang w:eastAsia="fr-FR"/>
        </w:rPr>
        <w:t>hors annexe I du traité</w:t>
      </w:r>
      <w:r w:rsidRPr="003B458D">
        <w:rPr>
          <w:snapToGrid w:val="0"/>
          <w:szCs w:val="24"/>
          <w:lang w:eastAsia="fr-FR"/>
        </w:rPr>
        <w:t>.</w:t>
      </w:r>
      <w:r w:rsidRPr="003B458D">
        <w:rPr>
          <w:b/>
          <w:i/>
          <w:snapToGrid w:val="0"/>
          <w:szCs w:val="24"/>
          <w:lang w:eastAsia="fr-FR"/>
        </w:rPr>
        <w:t xml:space="preserve"> Ce serait</w:t>
      </w:r>
      <w:r w:rsidRPr="003B458D">
        <w:rPr>
          <w:snapToGrid w:val="0"/>
          <w:szCs w:val="24"/>
          <w:lang w:eastAsia="fr-FR"/>
        </w:rPr>
        <w:t xml:space="preserve"> en cohérence avec les autres régimes de la politique agricole commune ("PAC") comme les systèmes européens de qualité, </w:t>
      </w:r>
      <w:r w:rsidRPr="003B458D">
        <w:rPr>
          <w:b/>
          <w:i/>
          <w:snapToGrid w:val="0"/>
          <w:szCs w:val="24"/>
          <w:lang w:eastAsia="fr-FR"/>
        </w:rPr>
        <w:t>qui sont</w:t>
      </w:r>
      <w:r w:rsidRPr="003B458D">
        <w:rPr>
          <w:snapToGrid w:val="0"/>
          <w:szCs w:val="24"/>
          <w:lang w:eastAsia="fr-FR"/>
        </w:rPr>
        <w:t xml:space="preserve"> déjà ▌ouverts à ces produits.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(9)</w:t>
      </w:r>
      <w:r w:rsidRPr="003B458D">
        <w:rPr>
          <w:snapToGrid w:val="0"/>
          <w:szCs w:val="24"/>
          <w:lang w:eastAsia="fr-FR"/>
        </w:rPr>
        <w:tab/>
        <w:t xml:space="preserve">L'information et la promotion des vins de l'Union est une des mesures phare des programmes d'aide dans le secteur viticole prévus par la PAC. </w:t>
      </w:r>
      <w:r w:rsidRPr="003B458D">
        <w:rPr>
          <w:b/>
          <w:i/>
          <w:snapToGrid w:val="0"/>
          <w:szCs w:val="24"/>
          <w:lang w:eastAsia="fr-FR"/>
        </w:rPr>
        <w:t>De même, le règlement (UE) n</w:t>
      </w:r>
      <w:r w:rsidRPr="003B458D">
        <w:rPr>
          <w:b/>
          <w:i/>
          <w:snapToGrid w:val="0"/>
          <w:szCs w:val="24"/>
          <w:vertAlign w:val="superscript"/>
          <w:lang w:eastAsia="fr-FR"/>
        </w:rPr>
        <w:t>o </w:t>
      </w:r>
      <w:r w:rsidRPr="003B458D">
        <w:rPr>
          <w:b/>
          <w:i/>
          <w:snapToGrid w:val="0"/>
          <w:szCs w:val="24"/>
          <w:lang w:eastAsia="fr-FR"/>
        </w:rPr>
        <w:t xml:space="preserve">…/2014 prévoit la promotion des produits de la pêche et de l'aquaculture énumérés à son annexe I. </w:t>
      </w:r>
      <w:r w:rsidRPr="003B458D">
        <w:rPr>
          <w:snapToGrid w:val="0"/>
          <w:szCs w:val="24"/>
          <w:lang w:eastAsia="fr-FR"/>
        </w:rPr>
        <w:t>En conséquence, il convient de limiter</w:t>
      </w:r>
      <w:r w:rsidRPr="003B458D">
        <w:rPr>
          <w:b/>
          <w:i/>
          <w:snapToGrid w:val="0"/>
          <w:szCs w:val="24"/>
          <w:lang w:eastAsia="fr-FR"/>
        </w:rPr>
        <w:t>, en ce qui concerne les produits de la pêche et de l'aquaculture énumérés à l'annexe I du règlement (UE) n</w:t>
      </w:r>
      <w:r w:rsidRPr="003B458D">
        <w:rPr>
          <w:b/>
          <w:i/>
          <w:snapToGrid w:val="0"/>
          <w:szCs w:val="24"/>
          <w:vertAlign w:val="superscript"/>
          <w:lang w:eastAsia="fr-FR"/>
        </w:rPr>
        <w:t>o </w:t>
      </w:r>
      <w:r w:rsidRPr="003B458D">
        <w:rPr>
          <w:b/>
          <w:i/>
          <w:snapToGrid w:val="0"/>
          <w:szCs w:val="24"/>
          <w:lang w:eastAsia="fr-FR"/>
        </w:rPr>
        <w:t>1379/2013,</w:t>
      </w:r>
      <w:r w:rsidRPr="003B458D">
        <w:rPr>
          <w:snapToGrid w:val="0"/>
          <w:szCs w:val="24"/>
          <w:lang w:eastAsia="fr-FR"/>
        </w:rPr>
        <w:t xml:space="preserve"> l'éligibilité </w:t>
      </w:r>
      <w:r w:rsidRPr="003B458D">
        <w:rPr>
          <w:b/>
          <w:i/>
          <w:snapToGrid w:val="0"/>
          <w:szCs w:val="24"/>
          <w:lang w:eastAsia="fr-FR"/>
        </w:rPr>
        <w:t xml:space="preserve">aux </w:t>
      </w:r>
      <w:r w:rsidRPr="003B458D">
        <w:rPr>
          <w:snapToGrid w:val="0"/>
          <w:szCs w:val="24"/>
          <w:lang w:eastAsia="fr-FR"/>
        </w:rPr>
        <w:t xml:space="preserve">actions d'information et de promotion dans le cadre du présent régime, au seul cas où </w:t>
      </w:r>
      <w:r w:rsidRPr="003B458D">
        <w:rPr>
          <w:b/>
          <w:i/>
          <w:snapToGrid w:val="0"/>
          <w:szCs w:val="24"/>
          <w:lang w:eastAsia="fr-FR"/>
        </w:rPr>
        <w:t>les produits de la pêche et de l'aquaculture sont</w:t>
      </w:r>
      <w:r w:rsidRPr="003B458D">
        <w:rPr>
          <w:snapToGrid w:val="0"/>
          <w:szCs w:val="24"/>
          <w:lang w:eastAsia="fr-FR"/>
        </w:rPr>
        <w:t xml:space="preserve"> </w:t>
      </w:r>
      <w:r w:rsidRPr="003B458D">
        <w:rPr>
          <w:b/>
          <w:i/>
          <w:snapToGrid w:val="0"/>
          <w:szCs w:val="24"/>
          <w:lang w:eastAsia="fr-FR"/>
        </w:rPr>
        <w:t>associés</w:t>
      </w:r>
      <w:r w:rsidRPr="003B458D">
        <w:rPr>
          <w:snapToGrid w:val="0"/>
          <w:szCs w:val="24"/>
          <w:lang w:eastAsia="fr-FR"/>
        </w:rPr>
        <w:t xml:space="preserve"> à un autre produit agricole ou alimentaire.</w:t>
      </w:r>
    </w:p>
    <w:p w:rsidR="002022AB" w:rsidRPr="003B458D" w:rsidRDefault="002022AB" w:rsidP="00075179">
      <w:pPr>
        <w:spacing w:before="120" w:after="120" w:line="360" w:lineRule="auto"/>
        <w:ind w:left="851"/>
        <w:jc w:val="both"/>
        <w:rPr>
          <w:snapToGrid w:val="0"/>
          <w:szCs w:val="24"/>
          <w:lang w:eastAsia="fr-FR"/>
        </w:rPr>
      </w:pPr>
      <w:r w:rsidRPr="003B458D">
        <w:rPr>
          <w:b/>
          <w:i/>
          <w:snapToGrid w:val="0"/>
          <w:szCs w:val="24"/>
          <w:lang w:eastAsia="fr-FR"/>
        </w:rPr>
        <w:t>En ce qui concerne le vin, seuls les vins d'appellation d'origine ou d'indication géographique protégée, ainsi que les vins dont le cépage est indiqué, devraient pouvoir faire l'objet d'actions d'information et de promotion. En cas de programmes simples, il convient aussi que le programme en question soit associé à un autre produit agricole ou alimentaire.</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br w:type="page"/>
        <w:t>(10)</w:t>
      </w:r>
      <w:r w:rsidRPr="003B458D">
        <w:rPr>
          <w:b/>
          <w:i/>
          <w:snapToGrid w:val="0"/>
          <w:szCs w:val="24"/>
          <w:lang w:eastAsia="fr-FR"/>
        </w:rPr>
        <w:tab/>
        <w:t>Les produits relevant des systèmes européens de qualité ou d'autres systèmes de qualité reconnus par les États membres devraient être admissibles aux actions d'information et de promotion car ces systèmes donnent aux consommateurs des garanties sur la qualité et les caractéristiques du produit ou du procédé utilisé pour sa production, ajoutent de la valeur aux produits et renforcent leurs possibilités de commercialisation. De même, le mode de production biologique, ainsi que le symbole graphique des produits agricoles de qualité spécifiques des régions ultra-périphériques, devraient être admissibles aux actions d'information et de promotion.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(11)</w:t>
      </w:r>
      <w:r w:rsidRPr="003B458D">
        <w:rPr>
          <w:snapToGrid w:val="0"/>
          <w:szCs w:val="24"/>
          <w:lang w:eastAsia="fr-FR"/>
        </w:rPr>
        <w:tab/>
        <w:t>Sur la période 2001-2011, à peine 30 % du budget consacré aux actions d'information et de promotion au titre du règlement (CE) n° 3/2008 visait les marchés des pays tiers alors que ces marchés offrent un potentiel de croissance important. Il y a lieu de prévoir des modalités ▌pour encourager ▌la réalisation d'un plus grand nombre d'actions d'information et de promotion en faveur des produits agricoles de l'Union dans les pays tiers, notamment via un soutien financier renforcé.</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(12)</w:t>
      </w:r>
      <w:r w:rsidRPr="003B458D">
        <w:rPr>
          <w:snapToGrid w:val="0"/>
          <w:szCs w:val="24"/>
          <w:lang w:eastAsia="fr-FR"/>
        </w:rPr>
        <w:tab/>
        <w:t xml:space="preserve">Afin de garantir </w:t>
      </w:r>
      <w:r w:rsidRPr="003B458D">
        <w:rPr>
          <w:b/>
          <w:i/>
          <w:snapToGrid w:val="0"/>
          <w:szCs w:val="24"/>
          <w:lang w:eastAsia="fr-FR"/>
        </w:rPr>
        <w:t>l'efficacité</w:t>
      </w:r>
      <w:r w:rsidRPr="003B458D">
        <w:rPr>
          <w:snapToGrid w:val="0"/>
          <w:szCs w:val="24"/>
          <w:lang w:eastAsia="fr-FR"/>
        </w:rPr>
        <w:t xml:space="preserve"> des actions d'information et de promotion mises en œuvre, celles-ci devraient être envisagées dans le cadre de programmes d'information et de promotion. Ces programmes étaient jusqu'à présent déposés par des organisations professionnelles ou interprofessionnelles. Afin d'augmenter le nombre ▌des actions proposées </w:t>
      </w:r>
      <w:r w:rsidRPr="003B458D">
        <w:rPr>
          <w:b/>
          <w:i/>
          <w:snapToGrid w:val="0"/>
          <w:szCs w:val="24"/>
          <w:lang w:eastAsia="fr-FR"/>
        </w:rPr>
        <w:t>et d'améliorer leur qualité</w:t>
      </w:r>
      <w:r w:rsidRPr="003B458D">
        <w:rPr>
          <w:snapToGrid w:val="0"/>
          <w:szCs w:val="24"/>
          <w:lang w:eastAsia="fr-FR"/>
        </w:rPr>
        <w:t>, il convient d'élargir le champ des bénéficiaires aux organisations de producteurs</w:t>
      </w:r>
      <w:r w:rsidRPr="003B458D">
        <w:rPr>
          <w:b/>
          <w:i/>
          <w:snapToGrid w:val="0"/>
          <w:szCs w:val="24"/>
          <w:lang w:eastAsia="fr-FR"/>
        </w:rPr>
        <w:t xml:space="preserve">, aux groupements et aux organismes du secteur agroalimentaire dont l'objet et l'activité consistent à donner des informations sur les produits agricoles ou à faire leur promotion.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(13)</w:t>
      </w:r>
      <w:r w:rsidRPr="003B458D">
        <w:rPr>
          <w:snapToGrid w:val="0"/>
          <w:szCs w:val="24"/>
          <w:lang w:eastAsia="fr-FR"/>
        </w:rPr>
        <w:tab/>
        <w:t xml:space="preserve">Les actions d'information et de promotion cofinancées par l'Union </w:t>
      </w:r>
      <w:r w:rsidRPr="003B458D">
        <w:rPr>
          <w:b/>
          <w:i/>
          <w:snapToGrid w:val="0"/>
          <w:szCs w:val="24"/>
          <w:lang w:eastAsia="fr-FR"/>
        </w:rPr>
        <w:t>devraient faire la démonstration d'</w:t>
      </w:r>
      <w:r w:rsidRPr="003B458D">
        <w:rPr>
          <w:snapToGrid w:val="0"/>
          <w:szCs w:val="24"/>
          <w:lang w:eastAsia="fr-FR"/>
        </w:rPr>
        <w:t xml:space="preserve">une dimension </w:t>
      </w:r>
      <w:r w:rsidRPr="003B458D">
        <w:rPr>
          <w:b/>
          <w:i/>
          <w:snapToGrid w:val="0"/>
          <w:szCs w:val="24"/>
          <w:lang w:eastAsia="fr-FR"/>
        </w:rPr>
        <w:t>qui soit</w:t>
      </w:r>
      <w:r w:rsidRPr="003B458D">
        <w:rPr>
          <w:snapToGrid w:val="0"/>
          <w:szCs w:val="24"/>
          <w:lang w:eastAsia="fr-FR"/>
        </w:rPr>
        <w:t xml:space="preserve"> spécifique </w:t>
      </w:r>
      <w:r w:rsidRPr="003B458D">
        <w:rPr>
          <w:b/>
          <w:i/>
          <w:snapToGrid w:val="0"/>
          <w:szCs w:val="24"/>
          <w:lang w:eastAsia="fr-FR"/>
        </w:rPr>
        <w:t>à l'Union</w:t>
      </w:r>
      <w:r w:rsidRPr="003B458D">
        <w:rPr>
          <w:snapToGrid w:val="0"/>
          <w:szCs w:val="24"/>
          <w:lang w:eastAsia="fr-FR"/>
        </w:rPr>
        <w:t xml:space="preserve">. À cette fin, et en vue d'éviter une dispersion des moyens et </w:t>
      </w:r>
      <w:r w:rsidRPr="003B458D">
        <w:rPr>
          <w:b/>
          <w:i/>
          <w:snapToGrid w:val="0"/>
          <w:szCs w:val="24"/>
          <w:lang w:eastAsia="fr-FR"/>
        </w:rPr>
        <w:t xml:space="preserve">dans le but </w:t>
      </w:r>
      <w:r w:rsidRPr="003B458D">
        <w:rPr>
          <w:snapToGrid w:val="0"/>
          <w:szCs w:val="24"/>
          <w:lang w:eastAsia="fr-FR"/>
        </w:rPr>
        <w:t xml:space="preserve">d'accroître la visibilité de l'Europe à travers ces actions d'information et de promotion en faveur des produits agricoles </w:t>
      </w:r>
      <w:r w:rsidRPr="003B458D">
        <w:rPr>
          <w:b/>
          <w:i/>
          <w:snapToGrid w:val="0"/>
          <w:szCs w:val="24"/>
          <w:lang w:eastAsia="fr-FR"/>
        </w:rPr>
        <w:t>et de certains produits alimentaires</w:t>
      </w:r>
      <w:r w:rsidRPr="003B458D">
        <w:rPr>
          <w:snapToGrid w:val="0"/>
          <w:szCs w:val="24"/>
          <w:lang w:eastAsia="fr-FR"/>
        </w:rPr>
        <w:t xml:space="preserve">, il convient de prévoir l'établissement d'un programme de travail définissant les priorités stratégiques de ces actions, en termes de populations, de produits, de </w:t>
      </w:r>
      <w:r w:rsidRPr="003B458D">
        <w:rPr>
          <w:b/>
          <w:i/>
          <w:snapToGrid w:val="0"/>
          <w:szCs w:val="24"/>
          <w:lang w:eastAsia="fr-FR"/>
        </w:rPr>
        <w:t>systèmes</w:t>
      </w:r>
      <w:r w:rsidRPr="003B458D">
        <w:rPr>
          <w:snapToGrid w:val="0"/>
          <w:szCs w:val="24"/>
          <w:lang w:eastAsia="fr-FR"/>
        </w:rPr>
        <w:t xml:space="preserve"> ou de marchés à cibler, ainsi que les caractéristiques des messages d'information et de promotion. </w:t>
      </w:r>
      <w:r w:rsidRPr="003B458D">
        <w:rPr>
          <w:b/>
          <w:i/>
          <w:snapToGrid w:val="0"/>
          <w:szCs w:val="24"/>
          <w:lang w:eastAsia="fr-FR"/>
        </w:rPr>
        <w:t>Les programmes devraient être élaborés à partir d'objectifs généraux et particuliers établis conformément au présent règlement et prendre en compte les possibilités offertes par les marchés et la nécessité de compléter et de renforcer les actions mises en œuvre par des États membres et des opérateurs tant sur le marché intérieur que dans les pays tiers en vue de garantir une politique de promotion et d'information cohérente. À cette fin, au moment de concevoir le programme, la Commission devrait consulter les États membres et les parties intéressées.</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br w:type="page"/>
        <w:t>(14)</w:t>
      </w:r>
      <w:r w:rsidRPr="003B458D">
        <w:rPr>
          <w:b/>
          <w:i/>
          <w:snapToGrid w:val="0"/>
          <w:szCs w:val="24"/>
          <w:lang w:eastAsia="fr-FR"/>
        </w:rPr>
        <w:tab/>
        <w:t xml:space="preserve">Le programme de travail devrait prévoir, notamment, des dispositions spécifiques concernant la réponse à apporter en cas de grave perturbation du marché ou de perte de confiance des consommateurs. De surcroît, </w:t>
      </w:r>
      <w:r w:rsidRPr="003B458D">
        <w:rPr>
          <w:snapToGrid w:val="0"/>
          <w:szCs w:val="24"/>
          <w:lang w:eastAsia="fr-FR"/>
        </w:rPr>
        <w:t xml:space="preserve"> la Commission </w:t>
      </w:r>
      <w:r w:rsidRPr="003B458D">
        <w:rPr>
          <w:b/>
          <w:i/>
          <w:snapToGrid w:val="0"/>
          <w:szCs w:val="24"/>
          <w:lang w:eastAsia="fr-FR"/>
        </w:rPr>
        <w:t>devrait prendre particulièrement en</w:t>
      </w:r>
      <w:r w:rsidRPr="003B458D">
        <w:rPr>
          <w:snapToGrid w:val="0"/>
          <w:szCs w:val="24"/>
          <w:lang w:eastAsia="fr-FR"/>
        </w:rPr>
        <w:t xml:space="preserve"> compte ▌la place prédominante des petites et moyennes entreprises dans le secteur agroalimentaire, </w:t>
      </w:r>
      <w:r w:rsidRPr="003B458D">
        <w:rPr>
          <w:b/>
          <w:i/>
          <w:snapToGrid w:val="0"/>
          <w:szCs w:val="24"/>
          <w:lang w:eastAsia="fr-FR"/>
        </w:rPr>
        <w:t>les</w:t>
      </w:r>
      <w:r w:rsidRPr="003B458D">
        <w:rPr>
          <w:snapToGrid w:val="0"/>
          <w:szCs w:val="24"/>
          <w:lang w:eastAsia="fr-FR"/>
        </w:rPr>
        <w:t xml:space="preserve"> secteurs bénéficiant des mesures exceptionnelles prévues aux articles </w:t>
      </w:r>
      <w:r w:rsidRPr="003B458D">
        <w:rPr>
          <w:b/>
          <w:i/>
          <w:snapToGrid w:val="0"/>
          <w:szCs w:val="24"/>
          <w:lang w:eastAsia="fr-FR"/>
        </w:rPr>
        <w:t>219, 220 et 221</w:t>
      </w:r>
      <w:r w:rsidRPr="003B458D">
        <w:rPr>
          <w:snapToGrid w:val="0"/>
          <w:szCs w:val="24"/>
          <w:lang w:eastAsia="fr-FR"/>
        </w:rPr>
        <w:t xml:space="preserve"> du règlement (UE) </w:t>
      </w:r>
      <w:r w:rsidRPr="003B458D">
        <w:rPr>
          <w:b/>
          <w:i/>
          <w:snapToGrid w:val="0"/>
          <w:szCs w:val="24"/>
          <w:lang w:eastAsia="fr-FR"/>
        </w:rPr>
        <w:t>n</w:t>
      </w:r>
      <w:r w:rsidRPr="003B458D">
        <w:rPr>
          <w:b/>
          <w:i/>
          <w:snapToGrid w:val="0"/>
          <w:szCs w:val="24"/>
          <w:vertAlign w:val="superscript"/>
          <w:lang w:eastAsia="fr-FR"/>
        </w:rPr>
        <w:t xml:space="preserve">o </w:t>
      </w:r>
      <w:r w:rsidRPr="003B458D">
        <w:rPr>
          <w:b/>
          <w:i/>
          <w:snapToGrid w:val="0"/>
          <w:szCs w:val="24"/>
          <w:lang w:eastAsia="fr-FR"/>
        </w:rPr>
        <w:t xml:space="preserve">1308/2013 </w:t>
      </w:r>
      <w:r w:rsidRPr="003B458D">
        <w:rPr>
          <w:snapToGrid w:val="0"/>
          <w:szCs w:val="24"/>
          <w:lang w:eastAsia="fr-FR"/>
        </w:rPr>
        <w:t>du Parlement européen et du Conseil</w:t>
      </w:r>
      <w:r w:rsidRPr="003B458D">
        <w:rPr>
          <w:snapToGrid w:val="0"/>
          <w:szCs w:val="24"/>
          <w:vertAlign w:val="superscript"/>
          <w:lang w:eastAsia="fr-FR"/>
        </w:rPr>
        <w:footnoteReference w:id="6"/>
      </w:r>
      <w:r w:rsidRPr="003B458D">
        <w:rPr>
          <w:snapToGrid w:val="0"/>
          <w:szCs w:val="24"/>
          <w:lang w:eastAsia="fr-FR"/>
        </w:rPr>
        <w:t xml:space="preserve"> ▌et </w:t>
      </w:r>
      <w:r w:rsidRPr="003B458D">
        <w:rPr>
          <w:b/>
          <w:i/>
          <w:snapToGrid w:val="0"/>
          <w:szCs w:val="24"/>
          <w:lang w:eastAsia="fr-FR"/>
        </w:rPr>
        <w:t>les</w:t>
      </w:r>
      <w:r w:rsidRPr="003B458D">
        <w:rPr>
          <w:snapToGrid w:val="0"/>
          <w:szCs w:val="24"/>
          <w:lang w:eastAsia="fr-FR"/>
        </w:rPr>
        <w:t xml:space="preserve"> accords de libre-échange </w:t>
      </w:r>
      <w:r w:rsidRPr="003B458D">
        <w:rPr>
          <w:b/>
          <w:i/>
          <w:snapToGrid w:val="0"/>
          <w:szCs w:val="24"/>
          <w:lang w:eastAsia="fr-FR"/>
        </w:rPr>
        <w:t>relevant</w:t>
      </w:r>
      <w:r w:rsidRPr="003B458D">
        <w:rPr>
          <w:snapToGrid w:val="0"/>
          <w:szCs w:val="24"/>
          <w:lang w:eastAsia="fr-FR"/>
        </w:rPr>
        <w:t xml:space="preserve"> de la politique commerciale de l'Union européenne pour les actions visant les pays tiers. </w:t>
      </w:r>
      <w:r w:rsidRPr="003B458D">
        <w:rPr>
          <w:b/>
          <w:i/>
          <w:snapToGrid w:val="0"/>
          <w:szCs w:val="24"/>
          <w:lang w:eastAsia="fr-FR"/>
        </w:rPr>
        <w:t>La Commission devrait aussi, dans la conception du programme, prendre en compte les handicaps des régions montagneuses, insulaires et ultrapériphériques.</w:t>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(15)</w:t>
      </w:r>
      <w:r w:rsidRPr="003B458D">
        <w:rPr>
          <w:snapToGrid w:val="0"/>
          <w:szCs w:val="24"/>
          <w:lang w:eastAsia="fr-FR"/>
        </w:rPr>
        <w:tab/>
        <w:t xml:space="preserve">Afin de garantir une mise en œuvre efficace des actions d'information et de promotion, il y a lieu que leur exécution soit confiée à des organismes d'exécution ▌sélectionnés </w:t>
      </w:r>
      <w:r w:rsidRPr="003B458D">
        <w:rPr>
          <w:b/>
          <w:i/>
          <w:snapToGrid w:val="0"/>
          <w:szCs w:val="24"/>
          <w:lang w:eastAsia="fr-FR"/>
        </w:rPr>
        <w:t>selon une procédure de mise en concurrence. Néanmoins, dans des cas dûment justifiés, les entités proposantes devraient avoir la possibilité d'exécuter directement certaines parties de leur programme.</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br w:type="page"/>
        <w:t>(16)</w:t>
      </w:r>
      <w:r w:rsidRPr="003B458D">
        <w:rPr>
          <w:b/>
          <w:i/>
          <w:snapToGrid w:val="0"/>
          <w:szCs w:val="24"/>
          <w:lang w:eastAsia="fr-FR"/>
        </w:rPr>
        <w:tab/>
        <w:t>La Commission devrait pouvoir mener des actions d'information et de promotion de sa propre initiative, y compris par des missions de haut niveau, notamment en vue de contribuer à l'ouverture de nouveaux marchés. La Commission devrait également avoir la possibilité de lancer ses propres campagnes afin de réagir de manière prompte et effective en cas de grave perturbation du marché ou de perte de confiance des consommateurs. Si nécessaire, elle devrait réviser la planification des ses initiatives en propre pour mettre en œuvre de telles campagnes. Les crédits alloués aux programmes simples ou multiples d'information et de promotion en cours ne doivent pas être diminués si la Commission entreprend une action dans ces circonstances.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(17)</w:t>
      </w:r>
      <w:r w:rsidRPr="003B458D">
        <w:rPr>
          <w:snapToGrid w:val="0"/>
          <w:szCs w:val="24"/>
          <w:lang w:eastAsia="fr-FR"/>
        </w:rPr>
        <w:tab/>
        <w:t xml:space="preserve">Au-delà des actions d'information et de promotion, il est nécessaire que la Commission développe et coordonne des services de </w:t>
      </w:r>
      <w:r w:rsidRPr="003B458D">
        <w:rPr>
          <w:b/>
          <w:i/>
          <w:snapToGrid w:val="0"/>
          <w:szCs w:val="24"/>
          <w:lang w:eastAsia="fr-FR"/>
        </w:rPr>
        <w:t>soutien</w:t>
      </w:r>
      <w:r w:rsidRPr="003B458D">
        <w:rPr>
          <w:snapToGrid w:val="0"/>
          <w:szCs w:val="24"/>
          <w:lang w:eastAsia="fr-FR"/>
        </w:rPr>
        <w:t xml:space="preserve"> technique </w:t>
      </w:r>
      <w:r w:rsidRPr="003B458D">
        <w:rPr>
          <w:b/>
          <w:i/>
          <w:snapToGrid w:val="0"/>
          <w:szCs w:val="24"/>
          <w:lang w:eastAsia="fr-FR"/>
        </w:rPr>
        <w:t>à l'échelon de l'Union</w:t>
      </w:r>
      <w:r w:rsidRPr="003B458D">
        <w:rPr>
          <w:snapToGrid w:val="0"/>
          <w:szCs w:val="24"/>
          <w:lang w:eastAsia="fr-FR"/>
        </w:rPr>
        <w:t xml:space="preserve">, dans le but d'aider les opérateurs à participer aux programmes cofinancés, à réaliser des campagnes efficaces ou à développer leurs activités à l'exportation. </w:t>
      </w:r>
      <w:r w:rsidRPr="003B458D">
        <w:rPr>
          <w:b/>
          <w:i/>
          <w:snapToGrid w:val="0"/>
          <w:szCs w:val="24"/>
          <w:lang w:eastAsia="fr-FR"/>
        </w:rPr>
        <w:t>Ces services devraient notamment comprendre la délivrance de lignes directrices pour aider les bénéficiaires potentiels à respecter les règles et les procédures associées à cette politique.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(18)</w:t>
      </w:r>
      <w:r w:rsidRPr="003B458D">
        <w:rPr>
          <w:snapToGrid w:val="0"/>
          <w:szCs w:val="24"/>
          <w:lang w:eastAsia="fr-FR"/>
        </w:rPr>
        <w:tab/>
      </w:r>
      <w:r w:rsidRPr="003B458D">
        <w:rPr>
          <w:b/>
          <w:i/>
          <w:snapToGrid w:val="0"/>
          <w:szCs w:val="24"/>
          <w:lang w:eastAsia="fr-FR"/>
        </w:rPr>
        <w:t xml:space="preserve">Les efforts visant à promouvoir les produits de l'Union sur les marchés de pays tiers sont parfois affectés par la concurrence de produits d'imitation ou de contrefaçon. Les services de soutien technique développés par la Commission devraient comprendre un service de conseil au secteur sur la façon de protéger les produits issus de l'Union contre les pratiques d'imitation et de contrefaçon. </w:t>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(19)</w:t>
      </w:r>
      <w:r w:rsidRPr="003B458D">
        <w:rPr>
          <w:snapToGrid w:val="0"/>
          <w:szCs w:val="24"/>
          <w:lang w:eastAsia="fr-FR"/>
        </w:rPr>
        <w:tab/>
        <w:t xml:space="preserve">L'Union </w:t>
      </w:r>
      <w:r w:rsidRPr="003B458D">
        <w:rPr>
          <w:b/>
          <w:i/>
          <w:snapToGrid w:val="0"/>
          <w:szCs w:val="24"/>
          <w:lang w:eastAsia="fr-FR"/>
        </w:rPr>
        <w:t>fait de la simplification de</w:t>
      </w:r>
      <w:r w:rsidRPr="003B458D">
        <w:rPr>
          <w:snapToGrid w:val="0"/>
          <w:szCs w:val="24"/>
          <w:lang w:eastAsia="fr-FR"/>
        </w:rPr>
        <w:t xml:space="preserve"> l'environnement réglementaire de la PAC </w:t>
      </w:r>
      <w:r w:rsidRPr="003B458D">
        <w:rPr>
          <w:b/>
          <w:i/>
          <w:snapToGrid w:val="0"/>
          <w:szCs w:val="24"/>
          <w:lang w:eastAsia="fr-FR"/>
        </w:rPr>
        <w:t>une priorité importante.</w:t>
      </w:r>
      <w:r w:rsidRPr="003B458D">
        <w:rPr>
          <w:snapToGrid w:val="0"/>
          <w:szCs w:val="24"/>
          <w:lang w:eastAsia="fr-FR"/>
        </w:rPr>
        <w:t xml:space="preserve"> Il y a lieu d'appliquer cette approche également au règlement relatif aux actions d'information et de promotion en faveur des produits agricoles. En particulier, il y a lieu de revoir les principes de gestion administrative des programmes d'information et de promotion dans le but de les simplifier et de permettre à la Commission d'établir les règles et les procédures pour régir la soumission, la sélection</w:t>
      </w:r>
      <w:r w:rsidRPr="003B458D">
        <w:rPr>
          <w:b/>
          <w:i/>
          <w:snapToGrid w:val="0"/>
          <w:szCs w:val="24"/>
          <w:lang w:eastAsia="fr-FR"/>
        </w:rPr>
        <w:t xml:space="preserve"> et l'évaluation</w:t>
      </w:r>
      <w:r w:rsidRPr="003B458D">
        <w:rPr>
          <w:snapToGrid w:val="0"/>
          <w:szCs w:val="24"/>
          <w:lang w:eastAsia="fr-FR"/>
        </w:rPr>
        <w:t xml:space="preserve"> des propositions de programmes. </w:t>
      </w:r>
      <w:r w:rsidRPr="003B458D">
        <w:rPr>
          <w:b/>
          <w:i/>
          <w:snapToGrid w:val="0"/>
          <w:szCs w:val="24"/>
          <w:lang w:eastAsia="fr-FR"/>
        </w:rPr>
        <w:t>La Commission devrait veiller à ce que les États membres reçoivent en temps utile des informations sur tous les programmes proposés et sélectionnés. Ces informations devraient inclure, en particulier, le nombre des propositions reçues, les États membres et les secteurs concernés et le résultat de l'évaluation de ces propositions.</w:t>
      </w:r>
    </w:p>
    <w:p w:rsidR="002022AB" w:rsidRPr="003B458D" w:rsidRDefault="002022AB" w:rsidP="00075179">
      <w:pPr>
        <w:spacing w:line="360" w:lineRule="auto"/>
        <w:ind w:left="851" w:hanging="851"/>
        <w:jc w:val="both"/>
        <w:rPr>
          <w:snapToGrid w:val="0"/>
          <w:szCs w:val="24"/>
          <w:lang w:eastAsia="fr-FR"/>
        </w:rPr>
      </w:pPr>
      <w:r w:rsidRPr="003B458D">
        <w:rPr>
          <w:snapToGrid w:val="0"/>
          <w:szCs w:val="24"/>
          <w:lang w:eastAsia="fr-FR"/>
        </w:rPr>
        <w:br w:type="page"/>
        <w:t>(20)</w:t>
      </w:r>
      <w:r w:rsidRPr="003B458D">
        <w:rPr>
          <w:snapToGrid w:val="0"/>
          <w:szCs w:val="24"/>
          <w:lang w:eastAsia="fr-FR"/>
        </w:rPr>
        <w:tab/>
        <w:t xml:space="preserve">La coopération entre les acteurs économiques de différents Etats membres contribue de manière substantielle à l'accroissement de la valeur ajoutée </w:t>
      </w:r>
      <w:r w:rsidRPr="003B458D">
        <w:rPr>
          <w:b/>
          <w:i/>
          <w:snapToGrid w:val="0"/>
          <w:szCs w:val="24"/>
          <w:lang w:eastAsia="fr-FR"/>
        </w:rPr>
        <w:t>par l'Union</w:t>
      </w:r>
      <w:r w:rsidRPr="003B458D">
        <w:rPr>
          <w:snapToGrid w:val="0"/>
          <w:szCs w:val="24"/>
          <w:lang w:eastAsia="fr-FR"/>
        </w:rPr>
        <w:t xml:space="preserve"> européenne et à une plus grande visibilité de la diversité des produits agricoles. Malgré la priorité donnée aux programmes élaborés conjointement par des organisations proposantes de différents Etats membres, ces derniers n'ont représenté sur 2001-2011 que 16 % du budget consacré aux actions d'information et de promotion au titre du règlement (CE) n° 3/2008. Sur la base de ce constat, il convient de prévoir de nouvelles dispositions, notamment en ce qui concerne la gestion </w:t>
      </w:r>
      <w:r w:rsidRPr="003B458D">
        <w:rPr>
          <w:b/>
          <w:i/>
          <w:snapToGrid w:val="0"/>
          <w:szCs w:val="24"/>
          <w:lang w:eastAsia="fr-FR"/>
        </w:rPr>
        <w:t>des programmes multiples</w:t>
      </w:r>
      <w:r w:rsidRPr="003B458D">
        <w:rPr>
          <w:snapToGrid w:val="0"/>
          <w:szCs w:val="24"/>
          <w:lang w:eastAsia="fr-FR"/>
        </w:rPr>
        <w:t xml:space="preserve"> pour surmonter les obstacles actuels </w:t>
      </w:r>
      <w:r w:rsidRPr="003B458D">
        <w:rPr>
          <w:b/>
          <w:i/>
          <w:snapToGrid w:val="0"/>
          <w:szCs w:val="24"/>
          <w:lang w:eastAsia="fr-FR"/>
        </w:rPr>
        <w:t>à leur</w:t>
      </w:r>
      <w:r w:rsidRPr="003B458D">
        <w:rPr>
          <w:snapToGrid w:val="0"/>
          <w:szCs w:val="24"/>
          <w:lang w:eastAsia="fr-FR"/>
        </w:rPr>
        <w:t xml:space="preserve"> mise en œuvre.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(21)</w:t>
      </w:r>
      <w:r w:rsidRPr="003B458D">
        <w:rPr>
          <w:snapToGrid w:val="0"/>
          <w:szCs w:val="24"/>
          <w:lang w:eastAsia="fr-FR"/>
        </w:rPr>
        <w:tab/>
        <w:t xml:space="preserve">Il convient de définir les critères du financement des actions. En règle générale, l'Union ne devrait prendre en charge qu'une partie des coûts des programmes afin de </w:t>
      </w:r>
      <w:r w:rsidRPr="003B458D">
        <w:rPr>
          <w:b/>
          <w:i/>
          <w:snapToGrid w:val="0"/>
          <w:szCs w:val="24"/>
          <w:lang w:eastAsia="fr-FR"/>
        </w:rPr>
        <w:t>garantir que</w:t>
      </w:r>
      <w:r w:rsidRPr="003B458D">
        <w:rPr>
          <w:snapToGrid w:val="0"/>
          <w:szCs w:val="24"/>
          <w:lang w:eastAsia="fr-FR"/>
        </w:rPr>
        <w:t xml:space="preserve"> les entités proposantes, </w:t>
      </w:r>
      <w:r w:rsidRPr="003B458D">
        <w:rPr>
          <w:b/>
          <w:i/>
          <w:snapToGrid w:val="0"/>
          <w:szCs w:val="24"/>
          <w:lang w:eastAsia="fr-FR"/>
        </w:rPr>
        <w:t xml:space="preserve">qui y sont </w:t>
      </w:r>
      <w:r w:rsidRPr="003B458D">
        <w:rPr>
          <w:snapToGrid w:val="0"/>
          <w:szCs w:val="24"/>
          <w:lang w:eastAsia="fr-FR"/>
        </w:rPr>
        <w:t xml:space="preserve"> intéressées, </w:t>
      </w:r>
      <w:r w:rsidRPr="003B458D">
        <w:rPr>
          <w:b/>
          <w:i/>
          <w:snapToGrid w:val="0"/>
          <w:szCs w:val="24"/>
          <w:lang w:eastAsia="fr-FR"/>
        </w:rPr>
        <w:t>assument leur part de responsabilités.</w:t>
      </w:r>
      <w:r w:rsidRPr="003B458D">
        <w:rPr>
          <w:snapToGrid w:val="0"/>
          <w:szCs w:val="24"/>
          <w:lang w:eastAsia="fr-FR"/>
        </w:rPr>
        <w:t xml:space="preserve"> Certains coûts administratifs et de personnel, non liés à l'exécution de la PAC, font </w:t>
      </w:r>
      <w:r w:rsidRPr="003B458D">
        <w:rPr>
          <w:b/>
          <w:i/>
          <w:snapToGrid w:val="0"/>
          <w:szCs w:val="24"/>
          <w:lang w:eastAsia="fr-FR"/>
        </w:rPr>
        <w:t xml:space="preserve">toutefois </w:t>
      </w:r>
      <w:r w:rsidRPr="003B458D">
        <w:rPr>
          <w:snapToGrid w:val="0"/>
          <w:szCs w:val="24"/>
          <w:lang w:eastAsia="fr-FR"/>
        </w:rPr>
        <w:t xml:space="preserve">partie intégrante des actions d'information et de promotion et </w:t>
      </w:r>
      <w:r w:rsidRPr="003B458D">
        <w:rPr>
          <w:b/>
          <w:i/>
          <w:snapToGrid w:val="0"/>
          <w:szCs w:val="24"/>
          <w:lang w:eastAsia="fr-FR"/>
        </w:rPr>
        <w:t>devraient</w:t>
      </w:r>
      <w:r w:rsidRPr="003B458D">
        <w:rPr>
          <w:snapToGrid w:val="0"/>
          <w:szCs w:val="24"/>
          <w:lang w:eastAsia="fr-FR"/>
        </w:rPr>
        <w:t xml:space="preserve"> être éligibles au financement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(22)</w:t>
      </w:r>
      <w:r w:rsidRPr="003B458D">
        <w:rPr>
          <w:snapToGrid w:val="0"/>
          <w:szCs w:val="24"/>
          <w:lang w:eastAsia="fr-FR"/>
        </w:rPr>
        <w:tab/>
        <w:t>Chaque mesure doit faire l'objet d'un suivi et d'une évaluation en vue d'en améliorer la qualité et de démontrer son efficacité. Dans ce contexte, il y a lieu qu'une liste d'indicateurs soit dressée et que l'incidence de la politique de promotion soit évaluée au regard de ses objectifs stratégiques. Il convient que la Commission établisse un cadre de suivi et d'évaluation pour cette politique en cohérence avec le cadre commun de suivi et d'évaluation de la PAC.</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(23)</w:t>
      </w:r>
      <w:r w:rsidRPr="003B458D">
        <w:rPr>
          <w:snapToGrid w:val="0"/>
          <w:szCs w:val="24"/>
          <w:lang w:eastAsia="fr-FR"/>
        </w:rPr>
        <w:tab/>
        <w:t xml:space="preserve">Afin </w:t>
      </w:r>
      <w:r w:rsidRPr="003B458D">
        <w:rPr>
          <w:b/>
          <w:i/>
          <w:snapToGrid w:val="0"/>
          <w:szCs w:val="24"/>
          <w:lang w:eastAsia="fr-FR"/>
        </w:rPr>
        <w:t>de compléter ou de modifier certains éléments non essentiels du présent</w:t>
      </w:r>
      <w:r w:rsidRPr="003B458D">
        <w:rPr>
          <w:snapToGrid w:val="0"/>
          <w:szCs w:val="24"/>
          <w:lang w:eastAsia="fr-FR"/>
        </w:rPr>
        <w:t xml:space="preserve"> règlement, il convient de déléguer à la Commission le pouvoir d'adopter des actes conformément à l'article 290 du traité </w:t>
      </w:r>
      <w:r w:rsidRPr="003B458D">
        <w:rPr>
          <w:b/>
          <w:i/>
          <w:snapToGrid w:val="0"/>
          <w:szCs w:val="24"/>
          <w:lang w:eastAsia="fr-FR"/>
        </w:rPr>
        <w:t>sur le fonctionnement de l'Union européenne</w:t>
      </w:r>
      <w:r w:rsidRPr="003B458D">
        <w:rPr>
          <w:snapToGrid w:val="0"/>
          <w:szCs w:val="24"/>
          <w:lang w:eastAsia="fr-FR"/>
        </w:rPr>
        <w:t>.</w:t>
      </w:r>
      <w:r w:rsidRPr="003B458D">
        <w:rPr>
          <w:b/>
          <w:i/>
          <w:snapToGrid w:val="0"/>
          <w:szCs w:val="24"/>
          <w:lang w:eastAsia="fr-FR"/>
        </w:rPr>
        <w:t xml:space="preserve"> Cette délégation devrait couvrir les ajouts à la liste figurant à l'annexe I du présent règlement, </w:t>
      </w:r>
      <w:r w:rsidRPr="003B458D">
        <w:rPr>
          <w:snapToGrid w:val="0"/>
          <w:szCs w:val="24"/>
          <w:lang w:eastAsia="fr-FR"/>
        </w:rPr>
        <w:t xml:space="preserve">les critères d'éligibilité des entités proposantes, les conditions de </w:t>
      </w:r>
      <w:r w:rsidRPr="003B458D">
        <w:rPr>
          <w:b/>
          <w:i/>
          <w:snapToGrid w:val="0"/>
          <w:szCs w:val="24"/>
          <w:lang w:eastAsia="fr-FR"/>
        </w:rPr>
        <w:t>la procédure de</w:t>
      </w:r>
      <w:r w:rsidRPr="003B458D">
        <w:rPr>
          <w:snapToGrid w:val="0"/>
          <w:szCs w:val="24"/>
          <w:lang w:eastAsia="fr-FR"/>
        </w:rPr>
        <w:t xml:space="preserve"> mise en concurrence des organismes d'exécution ▌, les conditions spécifiques d'éligibilité pour les programmes simples des coûts des actions d'information et de promotion </w:t>
      </w:r>
      <w:r w:rsidRPr="003B458D">
        <w:rPr>
          <w:b/>
          <w:i/>
          <w:snapToGrid w:val="0"/>
          <w:szCs w:val="24"/>
          <w:lang w:eastAsia="fr-FR"/>
        </w:rPr>
        <w:t>et les dispositions transitoires entre les dispositions du règlement (CE) n° 3/2008 et celles du présent règlement.</w:t>
      </w:r>
      <w:r w:rsidRPr="003B458D">
        <w:rPr>
          <w:snapToGrid w:val="0"/>
          <w:szCs w:val="24"/>
          <w:lang w:eastAsia="fr-FR"/>
        </w:rPr>
        <w:t xml:space="preserve"> Il importe particulièrement que la Commission procède aux consultations appropriées durant son travail préparatoire, y compris </w:t>
      </w:r>
      <w:r w:rsidRPr="003B458D">
        <w:rPr>
          <w:b/>
          <w:i/>
          <w:snapToGrid w:val="0"/>
          <w:szCs w:val="24"/>
          <w:lang w:eastAsia="fr-FR"/>
        </w:rPr>
        <w:t>au niveau</w:t>
      </w:r>
      <w:r w:rsidRPr="003B458D">
        <w:rPr>
          <w:snapToGrid w:val="0"/>
          <w:szCs w:val="24"/>
          <w:lang w:eastAsia="fr-FR"/>
        </w:rPr>
        <w:t xml:space="preserve"> des experts.</w:t>
      </w:r>
      <w:r w:rsidRPr="003B458D">
        <w:rPr>
          <w:b/>
          <w:i/>
          <w:snapToGrid w:val="0"/>
          <w:szCs w:val="24"/>
          <w:lang w:eastAsia="fr-FR"/>
        </w:rPr>
        <w:t xml:space="preserve"> </w:t>
      </w:r>
      <w:r w:rsidRPr="003B458D">
        <w:rPr>
          <w:snapToGrid w:val="0"/>
          <w:szCs w:val="24"/>
          <w:lang w:eastAsia="fr-FR"/>
        </w:rPr>
        <w:t>Il convient que, lorsqu'elle prépare et élabore des actes délégués, la Commission veille à ce que ▌les documents</w:t>
      </w:r>
      <w:r w:rsidRPr="003B458D">
        <w:rPr>
          <w:b/>
          <w:i/>
          <w:snapToGrid w:val="0"/>
          <w:szCs w:val="24"/>
          <w:lang w:eastAsia="fr-FR"/>
        </w:rPr>
        <w:t xml:space="preserve"> pertinents</w:t>
      </w:r>
      <w:r w:rsidRPr="003B458D">
        <w:rPr>
          <w:snapToGrid w:val="0"/>
          <w:szCs w:val="24"/>
          <w:lang w:eastAsia="fr-FR"/>
        </w:rPr>
        <w:t xml:space="preserve"> soient transmis en temps voulu, de façon appropriée et simultanée, au Parlement européen et au Conseil.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(24)</w:t>
      </w:r>
      <w:r w:rsidRPr="003B458D">
        <w:rPr>
          <w:snapToGrid w:val="0"/>
          <w:szCs w:val="24"/>
          <w:lang w:eastAsia="fr-FR"/>
        </w:rPr>
        <w:tab/>
        <w:t xml:space="preserve">Afin d'assurer des conditions uniformes d'exécution du présent règlement, des compétences d'exécution devraient être conférées à la Commission en vue de l'adoption d'actes d'exécution concernant </w:t>
      </w:r>
      <w:r w:rsidRPr="003B458D">
        <w:rPr>
          <w:b/>
          <w:i/>
          <w:snapToGrid w:val="0"/>
          <w:szCs w:val="24"/>
          <w:lang w:eastAsia="fr-FR"/>
        </w:rPr>
        <w:t>les règles détaillées sur la visibilité des marques commerciales lors des démonstrations ou dégustations de produits et sur le matériel d'information et de promotion et sur la visibilité de l'origine des produits sur le matériel d'information et de promotion,</w:t>
      </w:r>
      <w:r w:rsidRPr="003B458D">
        <w:rPr>
          <w:snapToGrid w:val="0"/>
          <w:szCs w:val="24"/>
          <w:lang w:eastAsia="fr-FR"/>
        </w:rPr>
        <w:t xml:space="preserve"> le programme </w:t>
      </w:r>
      <w:r w:rsidRPr="003B458D">
        <w:rPr>
          <w:b/>
          <w:i/>
          <w:snapToGrid w:val="0"/>
          <w:szCs w:val="24"/>
          <w:lang w:eastAsia="fr-FR"/>
        </w:rPr>
        <w:t xml:space="preserve">annuel </w:t>
      </w:r>
      <w:r w:rsidRPr="003B458D">
        <w:rPr>
          <w:snapToGrid w:val="0"/>
          <w:szCs w:val="24"/>
          <w:lang w:eastAsia="fr-FR"/>
        </w:rPr>
        <w:t>de travail ▌, la sélection des programmes simples,</w:t>
      </w:r>
      <w:r w:rsidRPr="003B458D">
        <w:rPr>
          <w:b/>
          <w:i/>
          <w:snapToGrid w:val="0"/>
          <w:szCs w:val="24"/>
          <w:lang w:eastAsia="fr-FR"/>
        </w:rPr>
        <w:t xml:space="preserve"> les règles détaillées selon lesquelles l'entité proposante peut être autorisée à exécuter elle</w:t>
      </w:r>
      <w:r w:rsidRPr="003B458D">
        <w:rPr>
          <w:b/>
          <w:i/>
          <w:snapToGrid w:val="0"/>
          <w:szCs w:val="24"/>
          <w:lang w:eastAsia="fr-FR"/>
        </w:rPr>
        <w:noBreakHyphen/>
        <w:t xml:space="preserve">même certaines parties d'un programme simple, </w:t>
      </w:r>
      <w:r w:rsidRPr="003B458D">
        <w:rPr>
          <w:snapToGrid w:val="0"/>
          <w:szCs w:val="24"/>
          <w:lang w:eastAsia="fr-FR"/>
        </w:rPr>
        <w:t xml:space="preserve">les modalités d'exécution, de suivi et de contrôle des programmes simples, les règles concernant la conclusion de contrats portant sur la mise en œuvre des programmes simples sélectionnés au titre du présent règlement ainsi que le cadre commun pour l'évaluation d'impact des programmes </w:t>
      </w:r>
      <w:r w:rsidRPr="003B458D">
        <w:rPr>
          <w:b/>
          <w:i/>
          <w:snapToGrid w:val="0"/>
          <w:szCs w:val="24"/>
          <w:lang w:eastAsia="fr-FR"/>
        </w:rPr>
        <w:t>et une batterie d'indices</w:t>
      </w:r>
      <w:r w:rsidRPr="003B458D">
        <w:rPr>
          <w:snapToGrid w:val="0"/>
          <w:szCs w:val="24"/>
          <w:lang w:eastAsia="fr-FR"/>
        </w:rPr>
        <w:t>. Ces compétences devraient être exercées en conformité avec le règlement (UE) n° 182/2011 du Parlement européen et du Conseil</w:t>
      </w:r>
      <w:r w:rsidRPr="003B458D">
        <w:rPr>
          <w:snapToGrid w:val="0"/>
          <w:szCs w:val="24"/>
          <w:vertAlign w:val="superscript"/>
          <w:lang w:eastAsia="fr-FR"/>
        </w:rPr>
        <w:footnoteReference w:id="7"/>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(25)</w:t>
      </w:r>
      <w:r w:rsidRPr="003B458D">
        <w:rPr>
          <w:snapToGrid w:val="0"/>
          <w:szCs w:val="24"/>
          <w:lang w:eastAsia="fr-FR"/>
        </w:rPr>
        <w:tab/>
      </w:r>
      <w:r w:rsidRPr="003B458D">
        <w:rPr>
          <w:b/>
          <w:i/>
          <w:snapToGrid w:val="0"/>
          <w:szCs w:val="24"/>
          <w:lang w:eastAsia="fr-FR"/>
        </w:rPr>
        <w:t>Étant donné  les</w:t>
      </w:r>
      <w:r w:rsidRPr="003B458D">
        <w:rPr>
          <w:snapToGrid w:val="0"/>
          <w:szCs w:val="24"/>
          <w:lang w:eastAsia="fr-FR"/>
        </w:rPr>
        <w:t xml:space="preserve"> liens existant entre la politique de promotion et les autres instruments de la PAC, </w:t>
      </w:r>
      <w:r w:rsidRPr="003B458D">
        <w:rPr>
          <w:b/>
          <w:i/>
          <w:snapToGrid w:val="0"/>
          <w:szCs w:val="24"/>
          <w:lang w:eastAsia="fr-FR"/>
        </w:rPr>
        <w:t>compte tenu de</w:t>
      </w:r>
      <w:r w:rsidRPr="003B458D">
        <w:rPr>
          <w:snapToGrid w:val="0"/>
          <w:szCs w:val="24"/>
          <w:lang w:eastAsia="fr-FR"/>
        </w:rPr>
        <w:t xml:space="preserve"> la garantie pluriannuelle des financements de l'Union et </w:t>
      </w:r>
      <w:r w:rsidRPr="003B458D">
        <w:rPr>
          <w:b/>
          <w:i/>
          <w:snapToGrid w:val="0"/>
          <w:szCs w:val="24"/>
          <w:lang w:eastAsia="fr-FR"/>
        </w:rPr>
        <w:t>de</w:t>
      </w:r>
      <w:r w:rsidRPr="003B458D">
        <w:rPr>
          <w:snapToGrid w:val="0"/>
          <w:szCs w:val="24"/>
          <w:lang w:eastAsia="fr-FR"/>
        </w:rPr>
        <w:t xml:space="preserve"> leur concentration sur des priorités clairement définies</w:t>
      </w:r>
      <w:r w:rsidRPr="003B458D">
        <w:rPr>
          <w:b/>
          <w:i/>
          <w:snapToGrid w:val="0"/>
          <w:szCs w:val="24"/>
          <w:lang w:eastAsia="fr-FR"/>
        </w:rPr>
        <w:t>, les objectifs du présent règlement peuvent être atteints plus efficacement au niveau de l'Union</w:t>
      </w:r>
      <w:r w:rsidRPr="003B458D">
        <w:rPr>
          <w:snapToGrid w:val="0"/>
          <w:szCs w:val="24"/>
          <w:lang w:eastAsia="fr-FR"/>
        </w:rPr>
        <w:t>.</w:t>
      </w:r>
      <w:r w:rsidRPr="003B458D">
        <w:rPr>
          <w:b/>
          <w:i/>
          <w:snapToGrid w:val="0"/>
          <w:szCs w:val="24"/>
          <w:lang w:eastAsia="fr-FR"/>
        </w:rPr>
        <w:t xml:space="preserve"> L'Union peut donc adopter des mesures au titre du </w:t>
      </w:r>
      <w:r w:rsidRPr="003B458D">
        <w:rPr>
          <w:snapToGrid w:val="0"/>
          <w:szCs w:val="24"/>
          <w:lang w:eastAsia="fr-FR"/>
        </w:rPr>
        <w:t>présent règlement</w:t>
      </w:r>
      <w:r w:rsidRPr="003B458D">
        <w:rPr>
          <w:b/>
          <w:i/>
          <w:snapToGrid w:val="0"/>
          <w:szCs w:val="24"/>
          <w:lang w:eastAsia="fr-FR"/>
        </w:rPr>
        <w:t xml:space="preserve"> conformément</w:t>
      </w:r>
      <w:r w:rsidRPr="003B458D">
        <w:rPr>
          <w:snapToGrid w:val="0"/>
          <w:szCs w:val="24"/>
          <w:lang w:eastAsia="fr-FR"/>
        </w:rPr>
        <w:t xml:space="preserve"> au principe de subsidiarité consacré à l'article 5 ▌du traité sur l'Union européenne. </w:t>
      </w:r>
      <w:r w:rsidRPr="003B458D">
        <w:rPr>
          <w:b/>
          <w:i/>
          <w:snapToGrid w:val="0"/>
          <w:szCs w:val="24"/>
          <w:lang w:eastAsia="fr-FR"/>
        </w:rPr>
        <w:t>Conformément au</w:t>
      </w:r>
      <w:r w:rsidRPr="003B458D">
        <w:rPr>
          <w:snapToGrid w:val="0"/>
          <w:szCs w:val="24"/>
          <w:lang w:eastAsia="fr-FR"/>
        </w:rPr>
        <w:t xml:space="preserve"> principe de proportionnalité énoncé </w:t>
      </w:r>
      <w:r w:rsidRPr="003B458D">
        <w:rPr>
          <w:b/>
          <w:i/>
          <w:snapToGrid w:val="0"/>
          <w:szCs w:val="24"/>
          <w:lang w:eastAsia="fr-FR"/>
        </w:rPr>
        <w:t>audit</w:t>
      </w:r>
      <w:r w:rsidRPr="003B458D">
        <w:rPr>
          <w:snapToGrid w:val="0"/>
          <w:szCs w:val="24"/>
          <w:lang w:eastAsia="fr-FR"/>
        </w:rPr>
        <w:t xml:space="preserve"> article, </w:t>
      </w:r>
      <w:r w:rsidRPr="003B458D">
        <w:rPr>
          <w:b/>
          <w:i/>
          <w:snapToGrid w:val="0"/>
          <w:szCs w:val="24"/>
          <w:lang w:eastAsia="fr-FR"/>
        </w:rPr>
        <w:t>le présent règlement n'excède pas ce qui est nécessaire pour atteindre cet objectif</w:t>
      </w:r>
      <w:r w:rsidRPr="003B458D">
        <w:rPr>
          <w:snapToGrid w:val="0"/>
          <w:szCs w:val="24"/>
          <w:lang w:eastAsia="fr-FR"/>
        </w:rPr>
        <w: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br w:type="page"/>
        <w:t>ONT ADOPTÉ LE PRÉSENT RÈGLEMENT: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Chapitre I</w:t>
      </w:r>
      <w:r w:rsidRPr="003B458D">
        <w:rPr>
          <w:snapToGrid w:val="0"/>
          <w:szCs w:val="24"/>
          <w:lang w:eastAsia="fr-FR"/>
        </w:rPr>
        <w:br/>
        <w:t>DISPOSITIONS GÉNÉRALES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premier</w:t>
      </w:r>
      <w:r w:rsidRPr="003B458D">
        <w:rPr>
          <w:snapToGrid w:val="0"/>
          <w:szCs w:val="24"/>
          <w:lang w:eastAsia="fr-FR"/>
        </w:rPr>
        <w:br/>
        <w:t>Objet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Les actions d'information et de promotion des produits agricoles et de certains produits alimentaires à base de produits agricoles, (ci-après dénommées "actions d'information et de promotion"), réalisées sur le marché intérieur ou dans des pays tiers peuvent être financées par le budget de l'Union, en tout ou en partie, dans les conditions prévues par le présent règlement. </w:t>
      </w:r>
    </w:p>
    <w:p w:rsidR="002022AB" w:rsidRPr="003B458D" w:rsidRDefault="002022AB" w:rsidP="00075179">
      <w:pPr>
        <w:spacing w:before="120" w:after="120" w:line="360" w:lineRule="auto"/>
        <w:jc w:val="center"/>
        <w:rPr>
          <w:b/>
          <w:i/>
          <w:snapToGrid w:val="0"/>
          <w:szCs w:val="24"/>
          <w:lang w:eastAsia="fr-FR"/>
        </w:rPr>
      </w:pPr>
      <w:r w:rsidRPr="003B458D">
        <w:rPr>
          <w:b/>
          <w:i/>
          <w:snapToGrid w:val="0"/>
          <w:szCs w:val="24"/>
          <w:lang w:eastAsia="fr-FR"/>
        </w:rPr>
        <w:t>Article 2</w:t>
      </w:r>
      <w:r w:rsidRPr="003B458D">
        <w:rPr>
          <w:b/>
          <w:i/>
          <w:snapToGrid w:val="0"/>
          <w:szCs w:val="24"/>
          <w:lang w:eastAsia="fr-FR"/>
        </w:rPr>
        <w:br/>
        <w:t>Objectifs généraux et particuliers</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L'objectif général des actions d'information et de promotion est de renforcer la compétitivité du secteur agricole.</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br w:type="page"/>
        <w:t>Les objectifs particuliers des actions d'information et de promotion sont:</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a)</w:t>
      </w:r>
      <w:r w:rsidRPr="003B458D">
        <w:rPr>
          <w:b/>
          <w:i/>
          <w:snapToGrid w:val="0"/>
          <w:szCs w:val="24"/>
          <w:lang w:eastAsia="fr-FR"/>
        </w:rPr>
        <w:tab/>
        <w:t>de généraliser la prise de conscience des mérites des produits agricoles de l'Union et des normes élevées qui s'appliquent aux modes de production dans l'Union;</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b)</w:t>
      </w:r>
      <w:r w:rsidRPr="003B458D">
        <w:rPr>
          <w:b/>
          <w:i/>
          <w:snapToGrid w:val="0"/>
          <w:szCs w:val="24"/>
          <w:lang w:eastAsia="fr-FR"/>
        </w:rPr>
        <w:tab/>
        <w:t>d'accroître la compétitivité et la consommation des produits agricoles et de certains produits alimentaires de l'Union et de renforcer leur notoriété tant dans l'Union qu'à l'extérieur;</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c)</w:t>
      </w:r>
      <w:r w:rsidRPr="003B458D">
        <w:rPr>
          <w:b/>
          <w:i/>
          <w:snapToGrid w:val="0"/>
          <w:szCs w:val="24"/>
          <w:lang w:eastAsia="fr-FR"/>
        </w:rPr>
        <w:tab/>
        <w:t>d'augmenter la connaissance et la reconnaissance des systèmes de qualité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d)</w:t>
      </w:r>
      <w:r w:rsidRPr="003B458D">
        <w:rPr>
          <w:b/>
          <w:i/>
          <w:snapToGrid w:val="0"/>
          <w:szCs w:val="24"/>
          <w:lang w:eastAsia="fr-FR"/>
        </w:rPr>
        <w:tab/>
        <w:t>d'augmenter la part de marché des produits agricoles et de certains produits alimentaires de l'Union, en accordant une attention particulière aux marchés de pays tiers à fort potentiel de croissance;</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e)</w:t>
      </w:r>
      <w:r w:rsidRPr="003B458D">
        <w:rPr>
          <w:b/>
          <w:i/>
          <w:snapToGrid w:val="0"/>
          <w:szCs w:val="24"/>
          <w:lang w:eastAsia="fr-FR"/>
        </w:rPr>
        <w:tab/>
        <w:t>de rétablir des conditions normales de marché en cas de grave perturbation du marché, de perte de confiance des consommateurs ou d'autres problèmes spécifiques.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3</w:t>
      </w:r>
      <w:r w:rsidRPr="003B458D">
        <w:rPr>
          <w:snapToGrid w:val="0"/>
          <w:szCs w:val="24"/>
          <w:lang w:eastAsia="fr-FR"/>
        </w:rPr>
        <w:br/>
        <w:t xml:space="preserve">Actions </w:t>
      </w:r>
      <w:r w:rsidRPr="003B458D">
        <w:rPr>
          <w:b/>
          <w:i/>
          <w:snapToGrid w:val="0"/>
          <w:szCs w:val="24"/>
          <w:lang w:eastAsia="fr-FR"/>
        </w:rPr>
        <w:t>d'information et de promotion</w:t>
      </w:r>
    </w:p>
    <w:p w:rsidR="002022AB" w:rsidRPr="003B458D" w:rsidRDefault="002022AB" w:rsidP="00075179">
      <w:pPr>
        <w:spacing w:before="120" w:after="120" w:line="360" w:lineRule="auto"/>
        <w:jc w:val="both"/>
        <w:rPr>
          <w:snapToGrid w:val="0"/>
          <w:szCs w:val="24"/>
          <w:lang w:eastAsia="fr-FR"/>
        </w:rPr>
      </w:pPr>
      <w:r w:rsidRPr="003B458D">
        <w:rPr>
          <w:b/>
          <w:i/>
          <w:snapToGrid w:val="0"/>
          <w:szCs w:val="24"/>
          <w:lang w:eastAsia="fr-FR"/>
        </w:rPr>
        <w:t>Les actions d'information et de promotion visée à l'article 1</w:t>
      </w:r>
      <w:r w:rsidRPr="003B458D">
        <w:rPr>
          <w:b/>
          <w:i/>
          <w:snapToGrid w:val="0"/>
          <w:szCs w:val="24"/>
          <w:vertAlign w:val="superscript"/>
          <w:lang w:eastAsia="fr-FR"/>
        </w:rPr>
        <w:t>er</w:t>
      </w:r>
      <w:r w:rsidRPr="003B458D">
        <w:rPr>
          <w:b/>
          <w:i/>
          <w:snapToGrid w:val="0"/>
          <w:szCs w:val="24"/>
          <w:lang w:eastAsia="fr-FR"/>
        </w:rPr>
        <w:t xml:space="preserve"> tendent:</w:t>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a)</w:t>
      </w:r>
      <w:r w:rsidRPr="003B458D">
        <w:rPr>
          <w:snapToGrid w:val="0"/>
          <w:szCs w:val="24"/>
          <w:lang w:eastAsia="fr-FR"/>
        </w:rPr>
        <w:tab/>
        <w:t xml:space="preserve">à souligner les spécificités des modes de production agricole de l'Union, notamment en termes de sécurité des aliments, </w:t>
      </w:r>
      <w:r w:rsidRPr="003B458D">
        <w:rPr>
          <w:b/>
          <w:i/>
          <w:snapToGrid w:val="0"/>
          <w:szCs w:val="24"/>
          <w:lang w:eastAsia="fr-FR"/>
        </w:rPr>
        <w:t xml:space="preserve">de traçabilité, </w:t>
      </w:r>
      <w:r w:rsidRPr="003B458D">
        <w:rPr>
          <w:snapToGrid w:val="0"/>
          <w:szCs w:val="24"/>
          <w:lang w:eastAsia="fr-FR"/>
        </w:rPr>
        <w:t xml:space="preserve">d'authenticité, </w:t>
      </w:r>
      <w:r w:rsidRPr="003B458D">
        <w:rPr>
          <w:b/>
          <w:i/>
          <w:snapToGrid w:val="0"/>
          <w:szCs w:val="24"/>
          <w:lang w:eastAsia="fr-FR"/>
        </w:rPr>
        <w:t xml:space="preserve">d'étiquetage, </w:t>
      </w:r>
      <w:r w:rsidRPr="003B458D">
        <w:rPr>
          <w:snapToGrid w:val="0"/>
          <w:szCs w:val="24"/>
          <w:lang w:eastAsia="fr-FR"/>
        </w:rPr>
        <w:t xml:space="preserve">d'aspects nutritionnels et sanitaires, de bien-être des animaux, de respect de l'environnement </w:t>
      </w:r>
      <w:r w:rsidRPr="003B458D">
        <w:rPr>
          <w:b/>
          <w:i/>
          <w:snapToGrid w:val="0"/>
          <w:szCs w:val="24"/>
          <w:lang w:eastAsia="fr-FR"/>
        </w:rPr>
        <w:t>et de durabilité, et les caractéristiques des produits agricoles et des produits alimentaires, en particulier en termes de qualité, de goût, de diversité ou de traditions;</w:t>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b)</w:t>
      </w:r>
      <w:r w:rsidRPr="003B458D">
        <w:rPr>
          <w:snapToGrid w:val="0"/>
          <w:szCs w:val="24"/>
          <w:lang w:eastAsia="fr-FR"/>
        </w:rPr>
        <w:tab/>
      </w:r>
      <w:r w:rsidRPr="003B458D">
        <w:rPr>
          <w:b/>
          <w:i/>
          <w:snapToGrid w:val="0"/>
          <w:szCs w:val="24"/>
          <w:lang w:eastAsia="fr-FR"/>
        </w:rPr>
        <w:t>à faire mieux connaître l'authenticité des appellations d'origine protégées, des indications géographiques protégées et des spécialités traditionnelles garanties de l'Union européenne.</w:t>
      </w:r>
      <w:r w:rsidRPr="003B458D">
        <w:rPr>
          <w:snapToGrid w:val="0"/>
          <w:szCs w:val="24"/>
          <w:lang w:eastAsia="fr-FR"/>
        </w:rPr>
        <w:t xml:space="preserve">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Ces actions consistent notamment en des opérations de relations publiques et des campagnes d'information et peuvent aussi prendre la forme d'une participation à des manifestations, foires et expositions d'importance nationale, européenne ou internationale.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4</w:t>
      </w:r>
      <w:r w:rsidRPr="003B458D">
        <w:rPr>
          <w:snapToGrid w:val="0"/>
          <w:szCs w:val="24"/>
          <w:lang w:eastAsia="fr-FR"/>
        </w:rPr>
        <w:br/>
        <w:t>Caractéristiques des actions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Les actions d'information et de promotion ne sont pas orientées en fonction des marques commerciales. Néanmoins, les marques des produits peuvent être visibles lors des démonstrations ou dégustations de produits et sur le matériel d'information et de promotion,</w:t>
      </w:r>
      <w:r w:rsidRPr="003B458D">
        <w:rPr>
          <w:b/>
          <w:i/>
          <w:snapToGrid w:val="0"/>
          <w:szCs w:val="24"/>
          <w:lang w:eastAsia="fr-FR"/>
        </w:rPr>
        <w:t xml:space="preserve"> pourvu que soit respecté le principe de non-discrimination et que la caractéristique principale des actions, à savoir de n'être pas orientées en fonction des marques commerciales, n'en soit pas altérée.  Le principe de non-discrimination s'applique en ce sens qu'il faut assurer l'égalité de traitement et d'accès à toutes les marques des entités proposantes et l'égalité de traitement entre États membres. Chaque marque doit être également visible et sa représentation graphique d'une taille moindre que le principal message de la campagne de l'Union. Plusieurs marques sont exposées, sauf dans des circonstances dûment motivées découlant de la situation particulière de l'État membre concerné.</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t xml:space="preserve">Les actions d'information </w:t>
      </w:r>
      <w:r w:rsidRPr="003B458D">
        <w:rPr>
          <w:b/>
          <w:i/>
          <w:snapToGrid w:val="0"/>
          <w:szCs w:val="24"/>
          <w:lang w:eastAsia="fr-FR"/>
        </w:rPr>
        <w:t>et de promotion</w:t>
      </w:r>
      <w:r w:rsidRPr="003B458D">
        <w:rPr>
          <w:snapToGrid w:val="0"/>
          <w:szCs w:val="24"/>
          <w:lang w:eastAsia="fr-FR"/>
        </w:rPr>
        <w:t xml:space="preserve"> </w:t>
      </w:r>
      <w:r w:rsidRPr="003B458D">
        <w:rPr>
          <w:b/>
          <w:i/>
          <w:snapToGrid w:val="0"/>
          <w:szCs w:val="24"/>
          <w:lang w:eastAsia="fr-FR"/>
        </w:rPr>
        <w:t>ne sont pas orientées selon l'origine</w:t>
      </w:r>
      <w:r w:rsidRPr="003B458D">
        <w:rPr>
          <w:snapToGrid w:val="0"/>
          <w:szCs w:val="24"/>
          <w:lang w:eastAsia="fr-FR"/>
        </w:rPr>
        <w:t>.</w:t>
      </w:r>
      <w:r w:rsidRPr="003B458D">
        <w:rPr>
          <w:b/>
          <w:i/>
          <w:snapToGrid w:val="0"/>
          <w:szCs w:val="24"/>
          <w:lang w:eastAsia="fr-FR"/>
        </w:rPr>
        <w:t xml:space="preserve"> Elles ne cherchent pas à encourager</w:t>
      </w:r>
      <w:r w:rsidRPr="003B458D">
        <w:rPr>
          <w:snapToGrid w:val="0"/>
          <w:szCs w:val="24"/>
          <w:lang w:eastAsia="fr-FR"/>
        </w:rPr>
        <w:t xml:space="preserve"> la consommation d'un produit en raison </w:t>
      </w:r>
      <w:r w:rsidRPr="003B458D">
        <w:rPr>
          <w:b/>
          <w:i/>
          <w:snapToGrid w:val="0"/>
          <w:szCs w:val="24"/>
          <w:lang w:eastAsia="fr-FR"/>
        </w:rPr>
        <w:t>seulement</w:t>
      </w:r>
      <w:r w:rsidRPr="003B458D">
        <w:rPr>
          <w:snapToGrid w:val="0"/>
          <w:szCs w:val="24"/>
          <w:lang w:eastAsia="fr-FR"/>
        </w:rPr>
        <w:t xml:space="preserve"> de son origine. Néanmoins, l'origine des produits peut être visible sur le matériel d'information et de promotion </w:t>
      </w:r>
      <w:r w:rsidRPr="003B458D">
        <w:rPr>
          <w:b/>
          <w:i/>
          <w:snapToGrid w:val="0"/>
          <w:szCs w:val="24"/>
          <w:lang w:eastAsia="fr-FR"/>
        </w:rPr>
        <w:t>selon les règles</w:t>
      </w:r>
      <w:r w:rsidRPr="003B458D">
        <w:rPr>
          <w:snapToGrid w:val="0"/>
          <w:szCs w:val="24"/>
          <w:lang w:eastAsia="fr-FR"/>
        </w:rPr>
        <w:t xml:space="preserve"> suivantes:</w:t>
      </w:r>
    </w:p>
    <w:p w:rsidR="002022AB" w:rsidRPr="003B458D" w:rsidRDefault="002022AB" w:rsidP="00075179">
      <w:pPr>
        <w:spacing w:before="120" w:after="120" w:line="360" w:lineRule="auto"/>
        <w:ind w:left="1418" w:hanging="567"/>
        <w:jc w:val="both"/>
        <w:rPr>
          <w:snapToGrid w:val="0"/>
          <w:szCs w:val="24"/>
          <w:lang w:eastAsia="fr-FR"/>
        </w:rPr>
      </w:pPr>
      <w:r w:rsidRPr="003B458D">
        <w:rPr>
          <w:b/>
          <w:i/>
          <w:snapToGrid w:val="0"/>
          <w:szCs w:val="24"/>
          <w:lang w:eastAsia="fr-FR"/>
        </w:rPr>
        <w:t>a)</w:t>
      </w:r>
      <w:r w:rsidRPr="003B458D">
        <w:rPr>
          <w:b/>
          <w:i/>
          <w:snapToGrid w:val="0"/>
          <w:szCs w:val="24"/>
          <w:lang w:eastAsia="fr-FR"/>
        </w:rPr>
        <w:tab/>
        <w:t>Sur le marché intérieur, la mention de l'origine est toujours seconde par rapport au principal message de la campagne de l'Union.</w:t>
      </w:r>
    </w:p>
    <w:p w:rsidR="002022AB" w:rsidRPr="003B458D" w:rsidRDefault="002022AB" w:rsidP="00075179">
      <w:pPr>
        <w:spacing w:before="120" w:after="120" w:line="360" w:lineRule="auto"/>
        <w:ind w:left="1418" w:hanging="567"/>
        <w:jc w:val="both"/>
        <w:rPr>
          <w:b/>
          <w:i/>
          <w:snapToGrid w:val="0"/>
          <w:szCs w:val="24"/>
          <w:lang w:eastAsia="fr-FR"/>
        </w:rPr>
      </w:pPr>
      <w:r w:rsidRPr="003B458D">
        <w:rPr>
          <w:b/>
          <w:i/>
          <w:snapToGrid w:val="0"/>
          <w:szCs w:val="24"/>
          <w:lang w:eastAsia="fr-FR"/>
        </w:rPr>
        <w:br w:type="page"/>
        <w:t>b)</w:t>
      </w:r>
      <w:r w:rsidRPr="003B458D">
        <w:rPr>
          <w:b/>
          <w:i/>
          <w:snapToGrid w:val="0"/>
          <w:szCs w:val="24"/>
          <w:lang w:eastAsia="fr-FR"/>
        </w:rPr>
        <w:tab/>
        <w:t>Dans les pays tiers, la mention de l'origine peut figurer au même niveau que le principal message de la campagne.</w:t>
      </w:r>
    </w:p>
    <w:p w:rsidR="002022AB" w:rsidRPr="003B458D" w:rsidRDefault="002022AB" w:rsidP="00075179">
      <w:pPr>
        <w:spacing w:before="120" w:after="120" w:line="360" w:lineRule="auto"/>
        <w:ind w:left="1418" w:hanging="567"/>
        <w:jc w:val="both"/>
        <w:rPr>
          <w:snapToGrid w:val="0"/>
          <w:szCs w:val="24"/>
          <w:lang w:eastAsia="fr-FR"/>
        </w:rPr>
      </w:pPr>
      <w:r w:rsidRPr="003B458D">
        <w:rPr>
          <w:b/>
          <w:i/>
          <w:snapToGrid w:val="0"/>
          <w:szCs w:val="24"/>
          <w:lang w:eastAsia="fr-FR"/>
        </w:rPr>
        <w:t>c)</w:t>
      </w:r>
      <w:r w:rsidRPr="003B458D">
        <w:rPr>
          <w:b/>
          <w:i/>
          <w:snapToGrid w:val="0"/>
          <w:szCs w:val="24"/>
          <w:lang w:eastAsia="fr-FR"/>
        </w:rPr>
        <w:tab/>
        <w:t xml:space="preserve">Pour les produits reconnus par les systèmes de qualité visés à l'article 5, paragraphe </w:t>
      </w:r>
      <w:r>
        <w:rPr>
          <w:b/>
          <w:i/>
          <w:snapToGrid w:val="0"/>
          <w:szCs w:val="24"/>
          <w:lang w:eastAsia="fr-FR"/>
        </w:rPr>
        <w:t>6</w:t>
      </w:r>
      <w:r w:rsidRPr="003B458D">
        <w:rPr>
          <w:b/>
          <w:i/>
          <w:snapToGrid w:val="0"/>
          <w:szCs w:val="24"/>
          <w:lang w:eastAsia="fr-FR"/>
        </w:rPr>
        <w:t>, point a), l'origine inscrite dans la dénomination peut être mentionnée sans aucune restriction.</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3.</w:t>
      </w:r>
      <w:r w:rsidRPr="003B458D">
        <w:rPr>
          <w:b/>
          <w:i/>
          <w:snapToGrid w:val="0"/>
          <w:szCs w:val="24"/>
          <w:lang w:eastAsia="fr-FR"/>
        </w:rPr>
        <w:tab/>
        <w:t>La Commission établit, au moyen d'actes d'exécution, les règles détaillées concernant:</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w:t>
      </w:r>
      <w:r w:rsidRPr="003B458D">
        <w:rPr>
          <w:b/>
          <w:i/>
          <w:snapToGrid w:val="0"/>
          <w:szCs w:val="24"/>
          <w:lang w:eastAsia="fr-FR"/>
        </w:rPr>
        <w:tab/>
        <w:t xml:space="preserve">la visibilité des marques commerciales lors des démonstrations ou dégustations de produits et sur le matériel d'information et de promotion, telle que visée au paragraphe 1, ainsi que les conditions uniformes sous lesquelles une marque unique peut être exposée; </w:t>
      </w:r>
    </w:p>
    <w:p w:rsidR="002022AB" w:rsidRPr="003B458D" w:rsidRDefault="002022AB" w:rsidP="00075179">
      <w:pPr>
        <w:spacing w:before="120" w:after="120" w:line="360" w:lineRule="auto"/>
        <w:ind w:left="1418" w:hanging="567"/>
        <w:jc w:val="both"/>
        <w:rPr>
          <w:b/>
          <w:i/>
          <w:snapToGrid w:val="0"/>
          <w:szCs w:val="24"/>
          <w:lang w:eastAsia="fr-FR"/>
        </w:rPr>
      </w:pPr>
      <w:r w:rsidRPr="003B458D">
        <w:rPr>
          <w:b/>
          <w:i/>
          <w:snapToGrid w:val="0"/>
          <w:szCs w:val="24"/>
          <w:lang w:eastAsia="fr-FR"/>
        </w:rPr>
        <w:t>−</w:t>
      </w:r>
      <w:r w:rsidRPr="003B458D">
        <w:rPr>
          <w:b/>
          <w:i/>
          <w:snapToGrid w:val="0"/>
          <w:szCs w:val="24"/>
          <w:lang w:eastAsia="fr-FR"/>
        </w:rPr>
        <w:tab/>
        <w:t>la visibilité de l'origine de produits sur le matériel d'information et de promotion, telle que visée au paragraphe 2.</w:t>
      </w:r>
    </w:p>
    <w:p w:rsidR="002022AB" w:rsidRPr="003B458D" w:rsidRDefault="002022AB" w:rsidP="00075179">
      <w:pPr>
        <w:spacing w:before="120" w:after="120" w:line="360" w:lineRule="auto"/>
        <w:ind w:left="851"/>
        <w:jc w:val="both"/>
        <w:rPr>
          <w:b/>
          <w:i/>
          <w:snapToGrid w:val="0"/>
          <w:szCs w:val="24"/>
          <w:lang w:eastAsia="fr-FR"/>
        </w:rPr>
      </w:pPr>
      <w:r w:rsidRPr="003B458D">
        <w:rPr>
          <w:b/>
          <w:i/>
          <w:snapToGrid w:val="0"/>
          <w:szCs w:val="24"/>
          <w:lang w:eastAsia="fr-FR"/>
        </w:rPr>
        <w:t xml:space="preserve">Ces actes d'exécution sont adoptés conformément à la procédure d'examen visée à l'article </w:t>
      </w:r>
      <w:r>
        <w:rPr>
          <w:b/>
          <w:i/>
          <w:snapToGrid w:val="0"/>
          <w:szCs w:val="24"/>
          <w:lang w:eastAsia="fr-FR"/>
        </w:rPr>
        <w:t>25</w:t>
      </w:r>
      <w:r w:rsidRPr="003B458D">
        <w:rPr>
          <w:b/>
          <w:i/>
          <w:snapToGrid w:val="0"/>
          <w:szCs w:val="24"/>
          <w:lang w:eastAsia="fr-FR"/>
        </w:rPr>
        <w:t>, paragraphe 2.</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5</w:t>
      </w:r>
      <w:r w:rsidRPr="003B458D">
        <w:rPr>
          <w:snapToGrid w:val="0"/>
          <w:szCs w:val="24"/>
          <w:lang w:eastAsia="fr-FR"/>
        </w:rPr>
        <w:br/>
        <w:t>Produits et thèmes éligibles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Les produits suivants peuvent faire l'objet des actions d'information et de promotion visées à l'article </w:t>
      </w:r>
      <w:r w:rsidRPr="003B458D">
        <w:rPr>
          <w:b/>
          <w:i/>
          <w:snapToGrid w:val="0"/>
          <w:szCs w:val="24"/>
          <w:lang w:eastAsia="fr-FR"/>
        </w:rPr>
        <w:t>1</w:t>
      </w:r>
      <w:r w:rsidRPr="003B458D">
        <w:rPr>
          <w:b/>
          <w:i/>
          <w:snapToGrid w:val="0"/>
          <w:szCs w:val="24"/>
          <w:vertAlign w:val="superscript"/>
          <w:lang w:eastAsia="fr-FR"/>
        </w:rPr>
        <w:t>er</w:t>
      </w:r>
      <w:r w:rsidRPr="003B458D">
        <w:rPr>
          <w:b/>
          <w:i/>
          <w:snapToGrid w:val="0"/>
          <w:szCs w:val="24"/>
          <w:lang w:eastAsia="fr-FR"/>
        </w:rPr>
        <w:t>:</w:t>
      </w:r>
      <w:r w:rsidRPr="003B458D">
        <w:rPr>
          <w:snapToGrid w:val="0"/>
          <w:szCs w:val="24"/>
          <w:lang w:eastAsia="fr-FR"/>
        </w:rPr>
        <w:t xml:space="preserve"> </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a)</w:t>
      </w:r>
      <w:r w:rsidRPr="003B458D">
        <w:rPr>
          <w:snapToGrid w:val="0"/>
          <w:szCs w:val="24"/>
          <w:lang w:eastAsia="fr-FR"/>
        </w:rPr>
        <w:tab/>
        <w:t xml:space="preserve">les produits ▌énumérés à la liste figurant à l'annexe I du traité sur le fonctionnement de l'Union européenne (ci-après dénommé "le traité") à l'exclusion ▌du tabac; </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b)</w:t>
      </w:r>
      <w:r w:rsidRPr="003B458D">
        <w:rPr>
          <w:snapToGrid w:val="0"/>
          <w:szCs w:val="24"/>
          <w:lang w:eastAsia="fr-FR"/>
        </w:rPr>
        <w:tab/>
        <w:t xml:space="preserve">les produits ▌enumérés </w:t>
      </w:r>
      <w:r w:rsidRPr="003B458D">
        <w:rPr>
          <w:b/>
          <w:i/>
          <w:snapToGrid w:val="0"/>
          <w:szCs w:val="24"/>
          <w:lang w:eastAsia="fr-FR"/>
        </w:rPr>
        <w:t xml:space="preserve">à </w:t>
      </w:r>
      <w:r w:rsidRPr="003B458D">
        <w:rPr>
          <w:snapToGrid w:val="0"/>
          <w:szCs w:val="24"/>
          <w:lang w:eastAsia="fr-FR"/>
        </w:rPr>
        <w:t xml:space="preserve">l'annexe I du </w:t>
      </w:r>
      <w:r w:rsidRPr="003B458D">
        <w:rPr>
          <w:b/>
          <w:i/>
          <w:snapToGrid w:val="0"/>
          <w:szCs w:val="24"/>
          <w:lang w:eastAsia="fr-FR"/>
        </w:rPr>
        <w:t>présent</w:t>
      </w:r>
      <w:r w:rsidRPr="003B458D">
        <w:rPr>
          <w:snapToGrid w:val="0"/>
          <w:szCs w:val="24"/>
          <w:lang w:eastAsia="fr-FR"/>
        </w:rPr>
        <w:t xml:space="preserve"> règlement ▌;</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c)</w:t>
      </w:r>
      <w:r w:rsidRPr="003B458D">
        <w:rPr>
          <w:snapToGrid w:val="0"/>
          <w:szCs w:val="24"/>
          <w:lang w:eastAsia="fr-FR"/>
        </w:rPr>
        <w:tab/>
        <w:t>les boissons spiritueuses avec indication géographique protégée au titre du règlement (CE) n° 110/2008 du Parlement européen et du Conseil.</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2.</w:t>
      </w:r>
      <w:r w:rsidRPr="003B458D">
        <w:rPr>
          <w:b/>
          <w:i/>
          <w:snapToGrid w:val="0"/>
          <w:szCs w:val="24"/>
          <w:lang w:eastAsia="fr-FR"/>
        </w:rPr>
        <w:tab/>
        <w:t>La Commission est habilitée à adopter des actes délégués conformément à l'article 24 pour compléter la liste figurant à l'annexe I du présent règlement en y ajoutant des produits alimentaires en fonction de l'évolution du marché.</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3.</w:t>
      </w:r>
      <w:r w:rsidRPr="003B458D">
        <w:rPr>
          <w:snapToGrid w:val="0"/>
          <w:szCs w:val="24"/>
          <w:lang w:eastAsia="fr-FR"/>
        </w:rPr>
        <w:tab/>
      </w:r>
      <w:r w:rsidRPr="003B458D">
        <w:rPr>
          <w:b/>
          <w:i/>
          <w:snapToGrid w:val="0"/>
          <w:szCs w:val="24"/>
          <w:lang w:eastAsia="fr-FR"/>
        </w:rPr>
        <w:t>Par dérogation au paragraphe 1,</w:t>
      </w:r>
      <w:r w:rsidRPr="003B458D">
        <w:rPr>
          <w:snapToGrid w:val="0"/>
          <w:szCs w:val="24"/>
          <w:lang w:eastAsia="fr-FR"/>
        </w:rPr>
        <w:t xml:space="preserve"> </w:t>
      </w:r>
      <w:r w:rsidRPr="003B458D">
        <w:rPr>
          <w:b/>
          <w:i/>
          <w:snapToGrid w:val="0"/>
          <w:szCs w:val="24"/>
          <w:lang w:eastAsia="fr-FR"/>
        </w:rPr>
        <w:t xml:space="preserve">seuls les vins d'appellation d'origine ou d'indication géographique protégée, ainsi que les vins dont le cépage est indiqué, </w:t>
      </w:r>
      <w:r w:rsidRPr="003B458D">
        <w:rPr>
          <w:snapToGrid w:val="0"/>
          <w:szCs w:val="24"/>
          <w:lang w:eastAsia="fr-FR"/>
        </w:rPr>
        <w:t xml:space="preserve">peuvent faire l'objet des actions d'information et de promotion </w:t>
      </w:r>
      <w:r w:rsidRPr="003B458D">
        <w:rPr>
          <w:b/>
          <w:i/>
          <w:snapToGrid w:val="0"/>
          <w:szCs w:val="24"/>
          <w:lang w:eastAsia="fr-FR"/>
        </w:rPr>
        <w:t>visées à l'article 1</w:t>
      </w:r>
      <w:r w:rsidRPr="003B458D">
        <w:rPr>
          <w:b/>
          <w:i/>
          <w:snapToGrid w:val="0"/>
          <w:szCs w:val="24"/>
          <w:vertAlign w:val="superscript"/>
          <w:lang w:eastAsia="fr-FR"/>
        </w:rPr>
        <w:t>er</w:t>
      </w:r>
      <w:r w:rsidRPr="003B458D">
        <w:rPr>
          <w:snapToGrid w:val="0"/>
          <w:szCs w:val="24"/>
          <w:lang w:eastAsia="fr-FR"/>
        </w:rPr>
        <w:t xml:space="preserve">. </w:t>
      </w:r>
      <w:r w:rsidRPr="003B458D">
        <w:rPr>
          <w:b/>
          <w:i/>
          <w:snapToGrid w:val="0"/>
          <w:szCs w:val="24"/>
          <w:lang w:eastAsia="fr-FR"/>
        </w:rPr>
        <w:t xml:space="preserve">Dans le cas des programmes simples visés à l'article 6, le </w:t>
      </w:r>
      <w:r w:rsidRPr="003B458D">
        <w:rPr>
          <w:snapToGrid w:val="0"/>
          <w:szCs w:val="24"/>
          <w:lang w:eastAsia="fr-FR"/>
        </w:rPr>
        <w:t xml:space="preserve">programme considéré </w:t>
      </w:r>
      <w:r w:rsidRPr="003B458D">
        <w:rPr>
          <w:b/>
          <w:i/>
          <w:snapToGrid w:val="0"/>
          <w:szCs w:val="24"/>
          <w:lang w:eastAsia="fr-FR"/>
        </w:rPr>
        <w:t>doit aussi couvrir d'autres produits visés au paragraphe 1, points a) et b).</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4.</w:t>
      </w:r>
      <w:r w:rsidRPr="003B458D">
        <w:rPr>
          <w:snapToGrid w:val="0"/>
          <w:szCs w:val="24"/>
          <w:lang w:eastAsia="fr-FR"/>
        </w:rPr>
        <w:tab/>
        <w:t xml:space="preserve">Pour les boissons spiritueuses visées au paragraphe 1, point c), ▌le vin tel que visé au paragraphe </w:t>
      </w:r>
      <w:r>
        <w:rPr>
          <w:snapToGrid w:val="0"/>
          <w:szCs w:val="24"/>
          <w:lang w:eastAsia="fr-FR"/>
        </w:rPr>
        <w:t>3</w:t>
      </w:r>
      <w:r w:rsidRPr="003B458D">
        <w:rPr>
          <w:snapToGrid w:val="0"/>
          <w:szCs w:val="24"/>
          <w:lang w:eastAsia="fr-FR"/>
        </w:rPr>
        <w:t xml:space="preserve"> </w:t>
      </w:r>
      <w:r w:rsidRPr="003B458D">
        <w:rPr>
          <w:b/>
          <w:i/>
          <w:snapToGrid w:val="0"/>
          <w:szCs w:val="24"/>
          <w:lang w:eastAsia="fr-FR"/>
        </w:rPr>
        <w:t>et la bière,</w:t>
      </w:r>
      <w:r w:rsidRPr="003B458D">
        <w:rPr>
          <w:snapToGrid w:val="0"/>
          <w:szCs w:val="24"/>
          <w:lang w:eastAsia="fr-FR"/>
        </w:rPr>
        <w:t xml:space="preserve"> les actions ciblant le marché intérieur sont limitées à l'information des consommateurs sur les systèmes</w:t>
      </w:r>
      <w:r w:rsidRPr="003B458D">
        <w:rPr>
          <w:b/>
          <w:i/>
          <w:snapToGrid w:val="0"/>
          <w:szCs w:val="24"/>
          <w:lang w:eastAsia="fr-FR"/>
        </w:rPr>
        <w:t xml:space="preserve"> prévus au paragraphe 6 et sur la consommation responsable de ces boissons</w:t>
      </w:r>
      <w:r w:rsidRPr="003B458D">
        <w:rPr>
          <w:snapToGrid w:val="0"/>
          <w:szCs w:val="24"/>
          <w:lang w:eastAsia="fr-FR"/>
        </w:rPr>
        <w:t>.</w:t>
      </w:r>
      <w:r w:rsidRPr="003B458D">
        <w:rPr>
          <w:b/>
          <w:i/>
          <w:snapToGrid w:val="0"/>
          <w:szCs w:val="24"/>
          <w:lang w:eastAsia="fr-FR"/>
        </w:rPr>
        <w:t xml:space="preserve"> </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5.</w:t>
      </w:r>
      <w:r w:rsidRPr="003B458D">
        <w:rPr>
          <w:b/>
          <w:i/>
          <w:snapToGrid w:val="0"/>
          <w:szCs w:val="24"/>
          <w:lang w:eastAsia="fr-FR"/>
        </w:rPr>
        <w:tab/>
        <w:t>Par dérogation au paragraphe 1, les produits de la pêche et de l'aquaculture énumérés à l'annexe I du règlement (UE) n° 1379/2013 du Parlement européen et du Conseil</w:t>
      </w:r>
      <w:r w:rsidRPr="003B458D">
        <w:rPr>
          <w:b/>
          <w:i/>
          <w:snapToGrid w:val="0"/>
          <w:szCs w:val="24"/>
          <w:vertAlign w:val="superscript"/>
          <w:lang w:eastAsia="fr-FR"/>
        </w:rPr>
        <w:footnoteReference w:id="8"/>
      </w:r>
      <w:r w:rsidRPr="003B458D">
        <w:rPr>
          <w:b/>
          <w:i/>
          <w:snapToGrid w:val="0"/>
          <w:szCs w:val="24"/>
          <w:lang w:eastAsia="fr-FR"/>
        </w:rPr>
        <w:t xml:space="preserve"> peuvent faire l'objet d'actions d'information et de promotion, à condition que d'autres produits visés au paragraphe 1, fassent également l'objet du programme considéré.</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6.</w:t>
      </w:r>
      <w:r w:rsidRPr="003B458D">
        <w:rPr>
          <w:snapToGrid w:val="0"/>
          <w:szCs w:val="24"/>
          <w:lang w:eastAsia="fr-FR"/>
        </w:rPr>
        <w:tab/>
        <w:t xml:space="preserve">Les </w:t>
      </w:r>
      <w:r w:rsidRPr="003B458D">
        <w:rPr>
          <w:b/>
          <w:i/>
          <w:snapToGrid w:val="0"/>
          <w:szCs w:val="24"/>
          <w:lang w:eastAsia="fr-FR"/>
        </w:rPr>
        <w:t>systèmes</w:t>
      </w:r>
      <w:r w:rsidRPr="003B458D">
        <w:rPr>
          <w:snapToGrid w:val="0"/>
          <w:szCs w:val="24"/>
          <w:lang w:eastAsia="fr-FR"/>
        </w:rPr>
        <w:t xml:space="preserve"> suivants </w:t>
      </w:r>
      <w:r w:rsidRPr="003B458D">
        <w:rPr>
          <w:b/>
          <w:i/>
          <w:snapToGrid w:val="0"/>
          <w:szCs w:val="24"/>
          <w:lang w:eastAsia="fr-FR"/>
        </w:rPr>
        <w:t>peuvent faire l'objet des actions d'information et de promotion visées à l'article 1</w:t>
      </w:r>
      <w:r w:rsidRPr="003B458D">
        <w:rPr>
          <w:b/>
          <w:i/>
          <w:snapToGrid w:val="0"/>
          <w:szCs w:val="24"/>
          <w:vertAlign w:val="superscript"/>
          <w:lang w:eastAsia="fr-FR"/>
        </w:rPr>
        <w:t>er</w:t>
      </w:r>
      <w:r w:rsidRPr="003B458D">
        <w:rPr>
          <w:b/>
          <w:i/>
          <w:snapToGrid w:val="0"/>
          <w:szCs w:val="24"/>
          <w:lang w:eastAsia="fr-FR"/>
        </w:rPr>
        <w:t>:</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a)</w:t>
      </w:r>
      <w:r w:rsidRPr="003B458D">
        <w:rPr>
          <w:snapToGrid w:val="0"/>
          <w:szCs w:val="24"/>
          <w:lang w:eastAsia="fr-FR"/>
        </w:rPr>
        <w:tab/>
        <w:t xml:space="preserve">les systèmes de qualité établis dans le règlement (UE) n° 1151/2012, dans le règlement (CE) n°110/2008 et à l'article </w:t>
      </w:r>
      <w:r w:rsidRPr="003B458D">
        <w:rPr>
          <w:b/>
          <w:i/>
          <w:snapToGrid w:val="0"/>
          <w:szCs w:val="24"/>
          <w:lang w:eastAsia="fr-FR"/>
        </w:rPr>
        <w:t>93</w:t>
      </w:r>
      <w:r w:rsidRPr="003B458D">
        <w:rPr>
          <w:snapToGrid w:val="0"/>
          <w:szCs w:val="24"/>
          <w:lang w:eastAsia="fr-FR"/>
        </w:rPr>
        <w:t xml:space="preserve"> du règlement (UE) </w:t>
      </w:r>
      <w:r w:rsidRPr="003B458D">
        <w:rPr>
          <w:b/>
          <w:i/>
          <w:snapToGrid w:val="0"/>
          <w:szCs w:val="24"/>
          <w:lang w:eastAsia="fr-FR"/>
        </w:rPr>
        <w:t>n</w:t>
      </w:r>
      <w:r w:rsidRPr="003B458D">
        <w:rPr>
          <w:b/>
          <w:i/>
          <w:snapToGrid w:val="0"/>
          <w:szCs w:val="24"/>
          <w:vertAlign w:val="superscript"/>
          <w:lang w:eastAsia="fr-FR"/>
        </w:rPr>
        <w:t>o</w:t>
      </w:r>
      <w:r w:rsidRPr="003B458D">
        <w:rPr>
          <w:b/>
          <w:i/>
          <w:snapToGrid w:val="0"/>
          <w:szCs w:val="24"/>
          <w:lang w:eastAsia="fr-FR"/>
        </w:rPr>
        <w:t xml:space="preserve"> 1308/2013</w:t>
      </w:r>
      <w:r w:rsidRPr="003B458D">
        <w:rPr>
          <w:snapToGrid w:val="0"/>
          <w:szCs w:val="24"/>
          <w:lang w:eastAsia="fr-FR"/>
        </w:rPr>
        <w:t xml:space="preserve"> ▌; </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b)</w:t>
      </w:r>
      <w:r w:rsidRPr="003B458D">
        <w:rPr>
          <w:snapToGrid w:val="0"/>
          <w:szCs w:val="24"/>
          <w:lang w:eastAsia="fr-FR"/>
        </w:rPr>
        <w:tab/>
        <w:t>le mode de production biologique, tel que défini par le règlement (CE) n° 834/2007 du Conseil;</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c)</w:t>
      </w:r>
      <w:r w:rsidRPr="003B458D">
        <w:rPr>
          <w:snapToGrid w:val="0"/>
          <w:szCs w:val="24"/>
          <w:lang w:eastAsia="fr-FR"/>
        </w:rPr>
        <w:tab/>
        <w:t>le symbole graphique des produits agricoles de qualité spécifiques des régions ultra-périphériques tel que défini à l'article 21 du règlement (UE) n° 228/2013 du Parlement européen et du Conseil.</w:t>
      </w:r>
    </w:p>
    <w:p w:rsidR="002022AB" w:rsidRPr="003B458D" w:rsidRDefault="002022AB" w:rsidP="00075179">
      <w:pPr>
        <w:spacing w:before="120" w:after="120" w:line="360" w:lineRule="auto"/>
        <w:ind w:left="1418" w:hanging="567"/>
        <w:jc w:val="both"/>
        <w:rPr>
          <w:b/>
          <w:i/>
          <w:snapToGrid w:val="0"/>
          <w:szCs w:val="24"/>
          <w:lang w:eastAsia="fr-FR"/>
        </w:rPr>
      </w:pPr>
      <w:r w:rsidRPr="003B458D">
        <w:rPr>
          <w:b/>
          <w:i/>
          <w:snapToGrid w:val="0"/>
          <w:szCs w:val="24"/>
          <w:lang w:eastAsia="fr-FR"/>
        </w:rPr>
        <w:t>d)</w:t>
      </w:r>
      <w:r w:rsidRPr="003B458D">
        <w:rPr>
          <w:b/>
          <w:i/>
          <w:snapToGrid w:val="0"/>
          <w:szCs w:val="24"/>
          <w:lang w:eastAsia="fr-FR"/>
        </w:rPr>
        <w:tab/>
        <w:t>les systèmes de qualité visés à l'article 16, paragraphe 1, points b) et c), du règlement (UE) n° 1305/2013.</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6</w:t>
      </w:r>
      <w:r w:rsidRPr="003B458D">
        <w:rPr>
          <w:snapToGrid w:val="0"/>
          <w:szCs w:val="24"/>
          <w:lang w:eastAsia="fr-FR"/>
        </w:rPr>
        <w:br/>
      </w:r>
      <w:r w:rsidRPr="003B458D">
        <w:rPr>
          <w:b/>
          <w:i/>
          <w:snapToGrid w:val="0"/>
          <w:szCs w:val="24"/>
          <w:lang w:eastAsia="fr-FR"/>
        </w:rPr>
        <w:t>Types d'actions</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Les actions d'information et de promotion sont mises en œuvre dans le cadre :</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a)</w:t>
      </w:r>
      <w:r w:rsidRPr="003B458D">
        <w:rPr>
          <w:b/>
          <w:i/>
          <w:snapToGrid w:val="0"/>
          <w:szCs w:val="24"/>
          <w:lang w:eastAsia="fr-FR"/>
        </w:rPr>
        <w:tab/>
        <w:t>de programmes d'information et de promotion (ci-après dénommés "programmes") et</w:t>
      </w:r>
    </w:p>
    <w:p w:rsidR="002022AB" w:rsidRPr="003B458D" w:rsidRDefault="002022AB" w:rsidP="00075179">
      <w:pPr>
        <w:spacing w:before="120" w:after="120" w:line="360" w:lineRule="auto"/>
        <w:ind w:left="851" w:hanging="851"/>
        <w:jc w:val="both"/>
        <w:rPr>
          <w:snapToGrid w:val="0"/>
          <w:szCs w:val="24"/>
          <w:lang w:eastAsia="fr-FR"/>
        </w:rPr>
      </w:pPr>
      <w:r w:rsidRPr="003B458D">
        <w:rPr>
          <w:b/>
          <w:i/>
          <w:snapToGrid w:val="0"/>
          <w:szCs w:val="24"/>
          <w:lang w:eastAsia="fr-FR"/>
        </w:rPr>
        <w:t>b)</w:t>
      </w:r>
      <w:r w:rsidRPr="003B458D">
        <w:rPr>
          <w:b/>
          <w:i/>
          <w:snapToGrid w:val="0"/>
          <w:szCs w:val="24"/>
          <w:lang w:eastAsia="fr-FR"/>
        </w:rPr>
        <w:tab/>
        <w:t>des initiatives de la Commission visées à l'article </w:t>
      </w:r>
      <w:r>
        <w:rPr>
          <w:b/>
          <w:i/>
          <w:snapToGrid w:val="0"/>
          <w:szCs w:val="24"/>
          <w:lang w:eastAsia="fr-FR"/>
        </w:rPr>
        <w:t>9</w:t>
      </w:r>
      <w:r w:rsidRPr="003B458D">
        <w:rPr>
          <w:b/>
          <w:i/>
          <w:snapToGrid w:val="0"/>
          <w:szCs w:val="24"/>
          <w:lang w:eastAsia="fr-FR"/>
        </w:rPr>
        <w:t>.</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Les programmes consistent en un ensemble cohérent d'opérations, qui sont exécutées sur une période d'un an au moins et de trois ans au plus.</w:t>
      </w:r>
    </w:p>
    <w:p w:rsidR="002022AB" w:rsidRPr="003B458D" w:rsidRDefault="002022AB" w:rsidP="00075179">
      <w:pPr>
        <w:spacing w:before="120" w:after="120" w:line="360" w:lineRule="auto"/>
        <w:jc w:val="both"/>
        <w:rPr>
          <w:snapToGrid w:val="0"/>
          <w:szCs w:val="24"/>
          <w:lang w:eastAsia="fr-FR"/>
        </w:rPr>
      </w:pPr>
      <w:r w:rsidRPr="003B458D">
        <w:rPr>
          <w:b/>
          <w:i/>
          <w:snapToGrid w:val="0"/>
          <w:szCs w:val="24"/>
          <w:lang w:eastAsia="fr-FR"/>
        </w:rPr>
        <w:t xml:space="preserve">Les programmes simples, visés à la section 2 du chapitre II, peuvent être soumis par une entité proposante ou plusieurs, telles que visées à l'article 7, points a), c) ou d),  issues d'un seul et même État membre. </w:t>
      </w:r>
    </w:p>
    <w:p w:rsidR="002022AB" w:rsidRPr="003B458D" w:rsidRDefault="002022AB" w:rsidP="00075179">
      <w:pPr>
        <w:spacing w:before="120" w:after="120" w:line="360" w:lineRule="auto"/>
        <w:jc w:val="both"/>
        <w:rPr>
          <w:snapToGrid w:val="0"/>
          <w:szCs w:val="24"/>
          <w:lang w:eastAsia="fr-FR"/>
        </w:rPr>
      </w:pPr>
      <w:r w:rsidRPr="003B458D">
        <w:rPr>
          <w:b/>
          <w:i/>
          <w:snapToGrid w:val="0"/>
          <w:szCs w:val="24"/>
          <w:lang w:eastAsia="fr-FR"/>
        </w:rPr>
        <w:t>Les programmes multiples, visés à la section 3 du chapitre II, peuvent être soumis soit par plusieurs entités proposantes, telles que visées à l'article 7, points a), c) ou d), issues de plusieurs États membres, soit par une organisation européenne ou plusieurs, telles que visées à l'article 7, point b).</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 xml:space="preserve">Chapitre II </w:t>
      </w:r>
      <w:r w:rsidRPr="003B458D">
        <w:rPr>
          <w:snapToGrid w:val="0"/>
          <w:szCs w:val="24"/>
          <w:lang w:eastAsia="fr-FR"/>
        </w:rPr>
        <w:br/>
        <w:t xml:space="preserve">MISE EN ŒUVRE DES ACTIONS D'INFORMATION ET DE PROMOTION </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SECTION 1</w:t>
      </w:r>
      <w:r w:rsidRPr="003B458D">
        <w:rPr>
          <w:snapToGrid w:val="0"/>
          <w:szCs w:val="24"/>
          <w:lang w:eastAsia="fr-FR"/>
        </w:rPr>
        <w:br/>
        <w:t>DISPOSITIONS COMMUNES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7</w:t>
      </w:r>
      <w:r w:rsidRPr="003B458D">
        <w:rPr>
          <w:snapToGrid w:val="0"/>
          <w:szCs w:val="24"/>
          <w:lang w:eastAsia="fr-FR"/>
        </w:rPr>
        <w:br/>
        <w:t xml:space="preserve">Les entités proposantes </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1.</w:t>
      </w:r>
      <w:r w:rsidRPr="003B458D">
        <w:rPr>
          <w:snapToGrid w:val="0"/>
          <w:szCs w:val="24"/>
          <w:lang w:eastAsia="fr-FR"/>
        </w:rPr>
        <w:tab/>
        <w:t>Le programme peut être proposé par:</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a)</w:t>
      </w:r>
      <w:r w:rsidRPr="003B458D">
        <w:rPr>
          <w:snapToGrid w:val="0"/>
          <w:szCs w:val="24"/>
          <w:lang w:eastAsia="fr-FR"/>
        </w:rPr>
        <w:tab/>
        <w:t xml:space="preserve">des organisations professionnelles ou interprofessionnelles </w:t>
      </w:r>
      <w:r w:rsidRPr="003B458D">
        <w:rPr>
          <w:b/>
          <w:i/>
          <w:snapToGrid w:val="0"/>
          <w:szCs w:val="24"/>
          <w:lang w:eastAsia="fr-FR"/>
        </w:rPr>
        <w:t>établies dans un État membre et représentatives du secteur ou des secteurs concernés dans cet État membre, y compris notamment les organisations interprofessionnelles au sens de l'article 157 du règlement (UE) n</w:t>
      </w:r>
      <w:r w:rsidRPr="003B458D">
        <w:rPr>
          <w:b/>
          <w:i/>
          <w:snapToGrid w:val="0"/>
          <w:szCs w:val="24"/>
          <w:vertAlign w:val="superscript"/>
          <w:lang w:eastAsia="fr-FR"/>
        </w:rPr>
        <w:t>o</w:t>
      </w:r>
      <w:r w:rsidRPr="003B458D">
        <w:rPr>
          <w:b/>
          <w:i/>
          <w:snapToGrid w:val="0"/>
          <w:szCs w:val="24"/>
          <w:lang w:eastAsia="fr-FR"/>
        </w:rPr>
        <w:t>1308/2013 et les groupements au sens de l'article 3, point 2), du règlement (UE) n</w:t>
      </w:r>
      <w:r w:rsidRPr="003B458D">
        <w:rPr>
          <w:b/>
          <w:i/>
          <w:snapToGrid w:val="0"/>
          <w:szCs w:val="24"/>
          <w:vertAlign w:val="superscript"/>
          <w:lang w:eastAsia="fr-FR"/>
        </w:rPr>
        <w:t>o</w:t>
      </w:r>
      <w:r w:rsidRPr="003B458D">
        <w:rPr>
          <w:b/>
          <w:i/>
          <w:snapToGrid w:val="0"/>
          <w:szCs w:val="24"/>
          <w:lang w:eastAsia="fr-FR"/>
        </w:rPr>
        <w:t>1151/2012, dans la mesure où ils représentent une dénomination protégée au titre dudit règlement et faisant l'objet de programmes;</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b)</w:t>
      </w:r>
      <w:r w:rsidRPr="003B458D">
        <w:rPr>
          <w:snapToGrid w:val="0"/>
          <w:szCs w:val="24"/>
          <w:lang w:eastAsia="fr-FR"/>
        </w:rPr>
        <w:tab/>
        <w:t xml:space="preserve">des organisations professionnelles ou interprofessionnelles de l'Union </w:t>
      </w:r>
      <w:r w:rsidRPr="003B458D">
        <w:rPr>
          <w:b/>
          <w:i/>
          <w:snapToGrid w:val="0"/>
          <w:szCs w:val="24"/>
          <w:lang w:eastAsia="fr-FR"/>
        </w:rPr>
        <w:t>représentatives du secteur ou des secteurs concernés à l'échelon de l'Union;</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br w:type="page"/>
        <w:t>c)</w:t>
      </w:r>
      <w:r w:rsidRPr="003B458D">
        <w:rPr>
          <w:snapToGrid w:val="0"/>
          <w:szCs w:val="24"/>
          <w:lang w:eastAsia="fr-FR"/>
        </w:rPr>
        <w:tab/>
        <w:t>des organisations de producteurs ou des associations d'organisations de producteurs telles que définies aux articles</w:t>
      </w:r>
      <w:r w:rsidRPr="003B458D">
        <w:rPr>
          <w:b/>
          <w:i/>
          <w:snapToGrid w:val="0"/>
          <w:szCs w:val="24"/>
          <w:lang w:eastAsia="fr-FR"/>
        </w:rPr>
        <w:t xml:space="preserve"> 152 et 156</w:t>
      </w:r>
      <w:r w:rsidRPr="003B458D">
        <w:rPr>
          <w:snapToGrid w:val="0"/>
          <w:szCs w:val="24"/>
          <w:lang w:eastAsia="fr-FR"/>
        </w:rPr>
        <w:t xml:space="preserve"> du règlement</w:t>
      </w:r>
      <w:r w:rsidRPr="003B458D">
        <w:rPr>
          <w:b/>
          <w:i/>
          <w:snapToGrid w:val="0"/>
          <w:szCs w:val="24"/>
          <w:lang w:eastAsia="fr-FR"/>
        </w:rPr>
        <w:t xml:space="preserve"> </w:t>
      </w:r>
      <w:r w:rsidRPr="003B458D">
        <w:rPr>
          <w:snapToGrid w:val="0"/>
          <w:szCs w:val="24"/>
          <w:lang w:eastAsia="fr-FR"/>
        </w:rPr>
        <w:t>(UE)</w:t>
      </w:r>
      <w:r w:rsidRPr="003B458D">
        <w:rPr>
          <w:b/>
          <w:i/>
          <w:snapToGrid w:val="0"/>
          <w:szCs w:val="24"/>
          <w:lang w:eastAsia="fr-FR"/>
        </w:rPr>
        <w:t xml:space="preserve"> n°</w:t>
      </w:r>
      <w:r w:rsidRPr="003B458D">
        <w:rPr>
          <w:snapToGrid w:val="0"/>
          <w:szCs w:val="24"/>
          <w:lang w:eastAsia="fr-FR"/>
        </w:rPr>
        <w:t> </w:t>
      </w:r>
      <w:r w:rsidRPr="003B458D">
        <w:rPr>
          <w:b/>
          <w:i/>
          <w:snapToGrid w:val="0"/>
          <w:szCs w:val="24"/>
          <w:lang w:eastAsia="fr-FR"/>
        </w:rPr>
        <w:t>1308/2013 et reconnues par les États membres</w:t>
      </w:r>
      <w:r w:rsidRPr="003B458D">
        <w:rPr>
          <w:snapToGrid w:val="0"/>
          <w:szCs w:val="24"/>
          <w:lang w:eastAsia="fr-FR"/>
        </w:rPr>
        <w:t>;</w:t>
      </w:r>
    </w:p>
    <w:p w:rsidR="002022AB" w:rsidRPr="003B458D" w:rsidRDefault="002022AB" w:rsidP="00075179">
      <w:pPr>
        <w:spacing w:before="120" w:after="120" w:line="360" w:lineRule="auto"/>
        <w:ind w:left="1418" w:hanging="567"/>
        <w:jc w:val="both"/>
        <w:rPr>
          <w:snapToGrid w:val="0"/>
          <w:szCs w:val="24"/>
          <w:lang w:eastAsia="fr-FR"/>
        </w:rPr>
      </w:pPr>
      <w:r w:rsidRPr="003B458D">
        <w:rPr>
          <w:b/>
          <w:i/>
          <w:snapToGrid w:val="0"/>
          <w:szCs w:val="24"/>
          <w:lang w:eastAsia="fr-FR"/>
        </w:rPr>
        <w:t>d)</w:t>
      </w:r>
      <w:r w:rsidRPr="003B458D">
        <w:rPr>
          <w:b/>
          <w:i/>
          <w:snapToGrid w:val="0"/>
          <w:szCs w:val="24"/>
          <w:lang w:eastAsia="fr-FR"/>
        </w:rPr>
        <w:tab/>
        <w:t>des organismes du secteur agroalimentaire dont l'objet et l'activité consistent à donner des informations sur les produits agricoles ou à faire leur promotion et auxquels l'État membre concerné a confié en ce domaine une mission de service public clairement définie. Ces organismes doivent être établis légalement dans l'État membre concerné deux ans au moins avant la date de l'appel à propositions visé à l'article 8, paragraphe 2.</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2.</w:t>
      </w:r>
      <w:r w:rsidRPr="003B458D">
        <w:rPr>
          <w:b/>
          <w:i/>
          <w:snapToGrid w:val="0"/>
          <w:szCs w:val="24"/>
          <w:lang w:eastAsia="fr-FR"/>
        </w:rPr>
        <w:tab/>
        <w:t>La Commission est habilitée à adopter des actes délégués conformément à l'article 24 en ce qui concerne les conditions particulières sous lesquelles les entités proposantes, organisations, groupements ou organismes, visées au paragraphe 1, peuvent soumettre un programme, en particulier afin de garantir que ces organisations, groupements ou organismes sont représentatifs et que le programme a une taille suffisante.</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8</w:t>
      </w:r>
      <w:r w:rsidRPr="003B458D">
        <w:rPr>
          <w:snapToGrid w:val="0"/>
          <w:szCs w:val="24"/>
          <w:lang w:eastAsia="fr-FR"/>
        </w:rPr>
        <w:br/>
        <w:t xml:space="preserve">Programme de travail </w:t>
      </w:r>
      <w:r w:rsidRPr="003B458D">
        <w:rPr>
          <w:b/>
          <w:i/>
          <w:snapToGrid w:val="0"/>
          <w:szCs w:val="24"/>
          <w:lang w:eastAsia="fr-FR"/>
        </w:rPr>
        <w:t>annuel</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La Commission adopte, par voie d'acte d'exécution, un programme de travail </w:t>
      </w:r>
      <w:r w:rsidRPr="003B458D">
        <w:rPr>
          <w:b/>
          <w:i/>
          <w:snapToGrid w:val="0"/>
          <w:szCs w:val="24"/>
          <w:lang w:eastAsia="fr-FR"/>
        </w:rPr>
        <w:t xml:space="preserve">annuel </w:t>
      </w:r>
      <w:r w:rsidRPr="003B458D">
        <w:rPr>
          <w:snapToGrid w:val="0"/>
          <w:szCs w:val="24"/>
          <w:lang w:eastAsia="fr-FR"/>
        </w:rPr>
        <w:t xml:space="preserve">qui énonce les objectifs </w:t>
      </w:r>
      <w:r w:rsidRPr="003B458D">
        <w:rPr>
          <w:b/>
          <w:i/>
          <w:snapToGrid w:val="0"/>
          <w:szCs w:val="24"/>
          <w:lang w:eastAsia="fr-FR"/>
        </w:rPr>
        <w:t xml:space="preserve">opérationnels </w:t>
      </w:r>
      <w:r w:rsidRPr="003B458D">
        <w:rPr>
          <w:snapToGrid w:val="0"/>
          <w:szCs w:val="24"/>
          <w:lang w:eastAsia="fr-FR"/>
        </w:rPr>
        <w:t xml:space="preserve">poursuivis, les priorités </w:t>
      </w:r>
      <w:r w:rsidRPr="003B458D">
        <w:rPr>
          <w:b/>
          <w:i/>
          <w:snapToGrid w:val="0"/>
          <w:szCs w:val="24"/>
          <w:lang w:eastAsia="fr-FR"/>
        </w:rPr>
        <w:t>opérationnelles</w:t>
      </w:r>
      <w:r w:rsidRPr="003B458D">
        <w:rPr>
          <w:snapToGrid w:val="0"/>
          <w:szCs w:val="24"/>
          <w:lang w:eastAsia="fr-FR"/>
        </w:rPr>
        <w:t xml:space="preserve">, les résultats escomptés, les modalités de mise en œuvre et le montant total du plan de financement. </w:t>
      </w:r>
      <w:r w:rsidRPr="003B458D">
        <w:rPr>
          <w:b/>
          <w:i/>
          <w:snapToGrid w:val="0"/>
          <w:szCs w:val="24"/>
          <w:lang w:eastAsia="fr-FR"/>
        </w:rPr>
        <w:t>Ce programme, y compris ses priorités opérationnelles, est conforme aux objectifs généraux et particuliers établis à l'article 2. En particulier, le programme prévoit des dispositions temporaires spécifiques concernant la réponse à apporter en cas de grave perturbation du marché, de perte de confiance des consommateurs ou d'autres problèmes spécifiques, tels que visés à l'article 2, point </w:t>
      </w:r>
      <w:r>
        <w:rPr>
          <w:b/>
          <w:i/>
          <w:snapToGrid w:val="0"/>
          <w:szCs w:val="24"/>
          <w:lang w:eastAsia="fr-FR"/>
        </w:rPr>
        <w:t>d</w:t>
      </w:r>
      <w:r w:rsidRPr="003B458D">
        <w:rPr>
          <w:b/>
          <w:i/>
          <w:snapToGrid w:val="0"/>
          <w:szCs w:val="24"/>
          <w:lang w:eastAsia="fr-FR"/>
        </w:rPr>
        <w:t>).</w:t>
      </w:r>
      <w:r w:rsidRPr="003B458D">
        <w:rPr>
          <w:snapToGrid w:val="0"/>
          <w:szCs w:val="24"/>
          <w:lang w:eastAsia="fr-FR"/>
        </w:rPr>
        <w:t xml:space="preserve"> Il comporte également les principaux critères d'évaluation, une description des actions à financer, une indication des montants alloués à chaque type d'action, un calendrier indicatif de mise en œuvre et pour les subventions, le taux maximum de </w:t>
      </w:r>
      <w:r w:rsidRPr="003B458D">
        <w:rPr>
          <w:b/>
          <w:i/>
          <w:snapToGrid w:val="0"/>
          <w:szCs w:val="24"/>
          <w:lang w:eastAsia="fr-FR"/>
        </w:rPr>
        <w:t>contribution financière de l'Union</w:t>
      </w:r>
      <w:r w:rsidRPr="003B458D">
        <w:rPr>
          <w:snapToGrid w:val="0"/>
          <w:szCs w:val="24"/>
          <w:lang w:eastAsia="fr-FR"/>
        </w:rPr>
        <w:t xml:space="preserve">. </w:t>
      </w:r>
    </w:p>
    <w:p w:rsidR="002022AB" w:rsidRPr="003B458D" w:rsidRDefault="002022AB" w:rsidP="00075179">
      <w:pPr>
        <w:spacing w:before="120" w:after="120" w:line="360" w:lineRule="auto"/>
        <w:ind w:left="851"/>
        <w:jc w:val="both"/>
        <w:rPr>
          <w:snapToGrid w:val="0"/>
          <w:szCs w:val="24"/>
          <w:lang w:eastAsia="fr-FR"/>
        </w:rPr>
      </w:pPr>
      <w:r w:rsidRPr="003B458D">
        <w:rPr>
          <w:snapToGrid w:val="0"/>
          <w:szCs w:val="24"/>
          <w:lang w:eastAsia="fr-FR"/>
        </w:rPr>
        <w:t xml:space="preserve">L'acte d'exécution visé au premier alinéa est adopté conformément à la procédure </w:t>
      </w:r>
      <w:r w:rsidRPr="003B458D">
        <w:rPr>
          <w:b/>
          <w:i/>
          <w:snapToGrid w:val="0"/>
          <w:szCs w:val="24"/>
          <w:lang w:eastAsia="fr-FR"/>
        </w:rPr>
        <w:t>d'examen</w:t>
      </w:r>
      <w:r w:rsidRPr="003B458D">
        <w:rPr>
          <w:snapToGrid w:val="0"/>
          <w:szCs w:val="24"/>
          <w:lang w:eastAsia="fr-FR"/>
        </w:rPr>
        <w:t xml:space="preserve"> visée à l'article </w:t>
      </w:r>
      <w:r>
        <w:rPr>
          <w:snapToGrid w:val="0"/>
          <w:szCs w:val="24"/>
          <w:lang w:eastAsia="fr-FR"/>
        </w:rPr>
        <w:t>25</w:t>
      </w:r>
      <w:r w:rsidRPr="003B458D">
        <w:rPr>
          <w:snapToGrid w:val="0"/>
          <w:szCs w:val="24"/>
          <w:lang w:eastAsia="fr-FR"/>
        </w:rPr>
        <w:t xml:space="preserve">, paragraphe </w:t>
      </w:r>
      <w:r>
        <w:rPr>
          <w:snapToGrid w:val="0"/>
          <w:szCs w:val="24"/>
          <w:lang w:eastAsia="fr-FR"/>
        </w:rPr>
        <w:t>2</w:t>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2.</w:t>
      </w:r>
      <w:r w:rsidRPr="003B458D">
        <w:rPr>
          <w:snapToGrid w:val="0"/>
          <w:szCs w:val="24"/>
          <w:lang w:eastAsia="fr-FR"/>
        </w:rPr>
        <w:tab/>
        <w:t>Le programme de travail visé au paragraphe 1 est mis en œuvre</w:t>
      </w:r>
      <w:r w:rsidRPr="003B458D">
        <w:rPr>
          <w:b/>
          <w:i/>
          <w:snapToGrid w:val="0"/>
          <w:szCs w:val="24"/>
          <w:lang w:eastAsia="fr-FR"/>
        </w:rPr>
        <w:t>, tant pour les programmes simples que pour les programmes multiples,</w:t>
      </w:r>
      <w:r w:rsidRPr="003B458D">
        <w:rPr>
          <w:snapToGrid w:val="0"/>
          <w:szCs w:val="24"/>
          <w:lang w:eastAsia="fr-FR"/>
        </w:rPr>
        <w:t xml:space="preserve"> par la publication par la Commission </w:t>
      </w:r>
      <w:r w:rsidRPr="003B458D">
        <w:rPr>
          <w:b/>
          <w:i/>
          <w:snapToGrid w:val="0"/>
          <w:szCs w:val="24"/>
          <w:lang w:eastAsia="fr-FR"/>
        </w:rPr>
        <w:t>d'appels</w:t>
      </w:r>
      <w:r w:rsidRPr="003B458D">
        <w:rPr>
          <w:snapToGrid w:val="0"/>
          <w:szCs w:val="24"/>
          <w:lang w:eastAsia="fr-FR"/>
        </w:rPr>
        <w:t xml:space="preserve"> à propositions conformément au titre VI de la partie I du règlement (UE, Euratom) n° 966/2012</w:t>
      </w:r>
      <w:r w:rsidRPr="003B458D">
        <w:rPr>
          <w:snapToGrid w:val="0"/>
          <w:szCs w:val="24"/>
          <w:vertAlign w:val="superscript"/>
          <w:lang w:eastAsia="fr-FR"/>
        </w:rPr>
        <w:footnoteReference w:id="9"/>
      </w:r>
      <w:r w:rsidRPr="003B458D">
        <w:rPr>
          <w:snapToGrid w:val="0"/>
          <w:szCs w:val="24"/>
          <w:lang w:eastAsia="fr-FR"/>
        </w:rPr>
        <w: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9</w:t>
      </w:r>
      <w:r w:rsidRPr="003B458D">
        <w:rPr>
          <w:snapToGrid w:val="0"/>
          <w:szCs w:val="24"/>
          <w:lang w:eastAsia="fr-FR"/>
        </w:rPr>
        <w:br/>
        <w:t xml:space="preserve">Actions à l’initiative de la Commission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La Commission peut réaliser des actions d'information et de promotion telles que décrites </w:t>
      </w:r>
      <w:r w:rsidRPr="003B458D">
        <w:rPr>
          <w:b/>
          <w:i/>
          <w:snapToGrid w:val="0"/>
          <w:szCs w:val="24"/>
          <w:lang w:eastAsia="fr-FR"/>
        </w:rPr>
        <w:t>à l'article</w:t>
      </w:r>
      <w:r w:rsidRPr="003B458D">
        <w:rPr>
          <w:snapToGrid w:val="0"/>
          <w:szCs w:val="24"/>
          <w:lang w:eastAsia="fr-FR"/>
        </w:rPr>
        <w:t> </w:t>
      </w:r>
      <w:r w:rsidRPr="003B458D">
        <w:rPr>
          <w:b/>
          <w:i/>
          <w:snapToGrid w:val="0"/>
          <w:szCs w:val="24"/>
          <w:lang w:eastAsia="fr-FR"/>
        </w:rPr>
        <w:t>3, y compris des</w:t>
      </w:r>
      <w:r w:rsidRPr="003B458D">
        <w:rPr>
          <w:snapToGrid w:val="0"/>
          <w:szCs w:val="24"/>
          <w:lang w:eastAsia="fr-FR"/>
        </w:rPr>
        <w:t xml:space="preserve"> </w:t>
      </w:r>
      <w:r w:rsidRPr="003B458D">
        <w:rPr>
          <w:b/>
          <w:i/>
          <w:snapToGrid w:val="0"/>
          <w:szCs w:val="24"/>
          <w:lang w:eastAsia="fr-FR"/>
        </w:rPr>
        <w:t>campagnes en cas de de perturbations graves du marché, de perte de confiance des consommateurs ou d'autres problèmes spécifiques visés à l'article 2</w:t>
      </w:r>
      <w:r w:rsidRPr="003B458D">
        <w:rPr>
          <w:snapToGrid w:val="0"/>
          <w:szCs w:val="24"/>
          <w:lang w:eastAsia="fr-FR"/>
        </w:rPr>
        <w:t xml:space="preserve">. Ces actions peuvent prendre notamment la forme de </w:t>
      </w:r>
      <w:r w:rsidRPr="003B458D">
        <w:rPr>
          <w:b/>
          <w:i/>
          <w:snapToGrid w:val="0"/>
          <w:szCs w:val="24"/>
          <w:lang w:eastAsia="fr-FR"/>
        </w:rPr>
        <w:t>missions de haut niveau, de</w:t>
      </w:r>
      <w:r w:rsidRPr="003B458D">
        <w:rPr>
          <w:snapToGrid w:val="0"/>
          <w:szCs w:val="24"/>
          <w:lang w:eastAsia="fr-FR"/>
        </w:rPr>
        <w:t xml:space="preserve"> participation à des foires commerciales et expositions d’importance internationale, au moyen de stands ou d'opérations destinés à promouvoir l’image des produits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2.</w:t>
      </w:r>
      <w:r w:rsidRPr="003B458D">
        <w:rPr>
          <w:snapToGrid w:val="0"/>
          <w:szCs w:val="24"/>
          <w:lang w:eastAsia="fr-FR"/>
        </w:rPr>
        <w:tab/>
        <w:t xml:space="preserve">La Commission développe des services de soutien technique, en vue notamment de favoriser la connaissance des différents marchés, </w:t>
      </w:r>
      <w:r w:rsidRPr="003B458D">
        <w:rPr>
          <w:b/>
          <w:i/>
          <w:snapToGrid w:val="0"/>
          <w:szCs w:val="24"/>
          <w:lang w:eastAsia="fr-FR"/>
        </w:rPr>
        <w:t>y compris le financement de visites commerciales exploratoires</w:t>
      </w:r>
      <w:r w:rsidRPr="003B458D">
        <w:rPr>
          <w:snapToGrid w:val="0"/>
          <w:szCs w:val="24"/>
          <w:lang w:eastAsia="fr-FR"/>
        </w:rPr>
        <w:t>, de maintenir un réseau professionnel dynamique autour de la politique d'information et de promotion</w:t>
      </w:r>
      <w:r w:rsidRPr="003B458D">
        <w:rPr>
          <w:b/>
          <w:i/>
          <w:snapToGrid w:val="0"/>
          <w:szCs w:val="24"/>
          <w:lang w:eastAsia="fr-FR"/>
        </w:rPr>
        <w:t xml:space="preserve">, y compris un service de conseils au secteur pour faire face à la menace des produits d'imitation et de contrefaçon dans des pays tiers, </w:t>
      </w:r>
      <w:r w:rsidRPr="003B458D">
        <w:rPr>
          <w:snapToGrid w:val="0"/>
          <w:szCs w:val="24"/>
          <w:lang w:eastAsia="fr-FR"/>
        </w:rPr>
        <w:t>et d'améliorer la connaissance des dispositions législatives relatives à l'élaboration et à la mise en œuvre des programmes.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10</w:t>
      </w:r>
      <w:r w:rsidRPr="003B458D">
        <w:rPr>
          <w:snapToGrid w:val="0"/>
          <w:szCs w:val="24"/>
          <w:lang w:eastAsia="fr-FR"/>
        </w:rPr>
        <w:br/>
        <w:t>Exclusion du double financement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Les actions d'information et de promotion recevant ▌ une contribution financière de l'Union au titre du présent règlement </w:t>
      </w:r>
      <w:r w:rsidRPr="003B458D">
        <w:rPr>
          <w:b/>
          <w:i/>
          <w:snapToGrid w:val="0"/>
          <w:szCs w:val="24"/>
          <w:lang w:eastAsia="fr-FR"/>
        </w:rPr>
        <w:t>ne peuvent faire l'objet d'aucun autre financement au titre du budget de l'Union</w:t>
      </w:r>
      <w:r w:rsidRPr="003B458D">
        <w:rPr>
          <w:snapToGrid w:val="0"/>
          <w:szCs w:val="24"/>
          <w:lang w:eastAsia="fr-FR"/>
        </w:rPr>
        <w:t xml:space="preserve">. </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SECTION 2</w:t>
      </w:r>
      <w:r w:rsidRPr="003B458D">
        <w:rPr>
          <w:snapToGrid w:val="0"/>
          <w:szCs w:val="24"/>
          <w:lang w:eastAsia="fr-FR"/>
        </w:rPr>
        <w:br/>
        <w:t>MISE EN ŒUVRE ET GESTION DES PROGRAMMES SIMPLES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11</w:t>
      </w:r>
      <w:r w:rsidRPr="003B458D">
        <w:rPr>
          <w:snapToGrid w:val="0"/>
          <w:szCs w:val="24"/>
          <w:lang w:eastAsia="fr-FR"/>
        </w:rPr>
        <w:br/>
        <w:t>Sélection des programmes simples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La Commission procède à l'évaluation et à la sélection des propositions de programmes simples suite à l'appel à propositions visé à l'article 8, paragraphe </w:t>
      </w:r>
      <w:r w:rsidRPr="003B458D">
        <w:rPr>
          <w:b/>
          <w:i/>
          <w:snapToGrid w:val="0"/>
          <w:szCs w:val="24"/>
          <w:lang w:eastAsia="fr-FR"/>
        </w:rPr>
        <w:t>2</w:t>
      </w: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snapToGrid w:val="0"/>
          <w:szCs w:val="24"/>
          <w:lang w:eastAsia="fr-FR"/>
        </w:rPr>
      </w:pPr>
      <w:r>
        <w:rPr>
          <w:snapToGrid w:val="0"/>
          <w:szCs w:val="24"/>
          <w:lang w:eastAsia="fr-FR"/>
        </w:rPr>
        <w:br w:type="page"/>
      </w:r>
      <w:r w:rsidRPr="003B458D">
        <w:rPr>
          <w:snapToGrid w:val="0"/>
          <w:szCs w:val="24"/>
          <w:lang w:eastAsia="fr-FR"/>
        </w:rPr>
        <w:t>2.</w:t>
      </w:r>
      <w:r w:rsidRPr="003B458D">
        <w:rPr>
          <w:snapToGrid w:val="0"/>
          <w:szCs w:val="24"/>
          <w:lang w:eastAsia="fr-FR"/>
        </w:rPr>
        <w:tab/>
        <w:t xml:space="preserve">La Commission décide, par voie d'actes d'exécution, sur les programmes simples sélectionnés, sur les modifications éventuelles à y apporter, et sur les budgets correspondants. Ces actes </w:t>
      </w:r>
      <w:r w:rsidRPr="003B458D">
        <w:rPr>
          <w:b/>
          <w:i/>
          <w:snapToGrid w:val="0"/>
          <w:szCs w:val="24"/>
          <w:lang w:eastAsia="fr-FR"/>
        </w:rPr>
        <w:t>d'exécution</w:t>
      </w:r>
      <w:r w:rsidRPr="003B458D">
        <w:rPr>
          <w:snapToGrid w:val="0"/>
          <w:szCs w:val="24"/>
          <w:lang w:eastAsia="fr-FR"/>
        </w:rPr>
        <w:t xml:space="preserve"> sont adoptés conformément à la procédure d'examen visée à l’article </w:t>
      </w:r>
      <w:r w:rsidRPr="003B458D">
        <w:rPr>
          <w:b/>
          <w:i/>
          <w:snapToGrid w:val="0"/>
          <w:szCs w:val="24"/>
          <w:lang w:eastAsia="fr-FR"/>
        </w:rPr>
        <w:t>25</w:t>
      </w:r>
      <w:r w:rsidRPr="003B458D">
        <w:rPr>
          <w:snapToGrid w:val="0"/>
          <w:szCs w:val="24"/>
          <w:lang w:eastAsia="fr-FR"/>
        </w:rPr>
        <w:t>, paragraphe 2.</w:t>
      </w:r>
    </w:p>
    <w:p w:rsidR="002022AB" w:rsidRPr="003B458D" w:rsidRDefault="002022AB" w:rsidP="00075179">
      <w:pPr>
        <w:spacing w:before="120" w:after="120" w:line="360" w:lineRule="auto"/>
        <w:jc w:val="center"/>
        <w:rPr>
          <w:b/>
          <w:i/>
          <w:snapToGrid w:val="0"/>
          <w:szCs w:val="24"/>
          <w:lang w:eastAsia="fr-FR"/>
        </w:rPr>
      </w:pPr>
      <w:r w:rsidRPr="003B458D">
        <w:rPr>
          <w:b/>
          <w:i/>
          <w:snapToGrid w:val="0"/>
          <w:szCs w:val="24"/>
          <w:lang w:eastAsia="fr-FR"/>
        </w:rPr>
        <w:t>Article 12</w:t>
      </w:r>
      <w:r w:rsidRPr="003B458D">
        <w:rPr>
          <w:b/>
          <w:i/>
          <w:snapToGrid w:val="0"/>
          <w:szCs w:val="24"/>
          <w:lang w:eastAsia="fr-FR"/>
        </w:rPr>
        <w:br/>
        <w:t>Informations concernant la sélection des programmes simples</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1.</w:t>
      </w:r>
      <w:r w:rsidRPr="003B458D">
        <w:rPr>
          <w:b/>
          <w:i/>
          <w:snapToGrid w:val="0"/>
          <w:szCs w:val="24"/>
          <w:lang w:eastAsia="fr-FR"/>
        </w:rPr>
        <w:tab/>
        <w:t xml:space="preserve">La Commission fournit en temps utile aux États membres, au sein du comité visé à l'article 25, des informations sur tous les programmes proposés et sélectionnés. </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2.</w:t>
      </w:r>
      <w:r w:rsidRPr="003B458D">
        <w:rPr>
          <w:b/>
          <w:i/>
          <w:snapToGrid w:val="0"/>
          <w:szCs w:val="24"/>
          <w:lang w:eastAsia="fr-FR"/>
        </w:rPr>
        <w:tab/>
        <w:t>Conformément au règlement (UE) n° 966/2012, la Commission fournit en particulier aux États membres des informations:</w:t>
      </w:r>
    </w:p>
    <w:p w:rsidR="002022AB" w:rsidRPr="003B458D" w:rsidRDefault="002022AB" w:rsidP="00075179">
      <w:pPr>
        <w:spacing w:before="120" w:after="120" w:line="360" w:lineRule="auto"/>
        <w:ind w:left="1418" w:hanging="568"/>
        <w:jc w:val="both"/>
        <w:rPr>
          <w:snapToGrid w:val="0"/>
          <w:szCs w:val="24"/>
          <w:lang w:eastAsia="fr-FR"/>
        </w:rPr>
      </w:pPr>
      <w:r w:rsidRPr="003B458D">
        <w:rPr>
          <w:b/>
          <w:i/>
          <w:snapToGrid w:val="0"/>
          <w:szCs w:val="24"/>
          <w:lang w:eastAsia="fr-FR"/>
        </w:rPr>
        <w:t>a)</w:t>
      </w:r>
      <w:r w:rsidRPr="003B458D">
        <w:rPr>
          <w:b/>
          <w:i/>
          <w:snapToGrid w:val="0"/>
          <w:szCs w:val="24"/>
          <w:lang w:eastAsia="fr-FR"/>
        </w:rPr>
        <w:tab/>
        <w:t>sur le nombre des propositions reçues, les États membres dans lesquels les entités proposantes sont établies, les secteurs concernés et les marchés ciblés;</w:t>
      </w:r>
    </w:p>
    <w:p w:rsidR="002022AB" w:rsidRPr="003B458D" w:rsidRDefault="002022AB" w:rsidP="00075179">
      <w:pPr>
        <w:spacing w:before="120" w:after="120" w:line="360" w:lineRule="auto"/>
        <w:ind w:left="1418" w:hanging="568"/>
        <w:jc w:val="both"/>
        <w:rPr>
          <w:snapToGrid w:val="0"/>
          <w:szCs w:val="24"/>
          <w:lang w:eastAsia="fr-FR"/>
        </w:rPr>
      </w:pPr>
      <w:r>
        <w:rPr>
          <w:b/>
          <w:i/>
          <w:snapToGrid w:val="0"/>
          <w:szCs w:val="24"/>
          <w:lang w:eastAsia="fr-FR"/>
        </w:rPr>
        <w:br w:type="page"/>
      </w:r>
      <w:r w:rsidRPr="003B458D">
        <w:rPr>
          <w:b/>
          <w:i/>
          <w:snapToGrid w:val="0"/>
          <w:szCs w:val="24"/>
          <w:lang w:eastAsia="fr-FR"/>
        </w:rPr>
        <w:t>b)</w:t>
      </w:r>
      <w:r w:rsidRPr="003B458D">
        <w:rPr>
          <w:b/>
          <w:i/>
          <w:snapToGrid w:val="0"/>
          <w:szCs w:val="24"/>
          <w:lang w:eastAsia="fr-FR"/>
        </w:rPr>
        <w:tab/>
        <w:t>sur le résultat de l'évaluation des propositions et une description succincte de celles</w:t>
      </w:r>
      <w:r w:rsidRPr="003B458D">
        <w:rPr>
          <w:b/>
          <w:i/>
          <w:snapToGrid w:val="0"/>
          <w:szCs w:val="24"/>
          <w:lang w:eastAsia="fr-FR"/>
        </w:rPr>
        <w:noBreakHyphen/>
        <w:t>ci.</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13</w:t>
      </w:r>
      <w:r w:rsidRPr="003B458D">
        <w:rPr>
          <w:snapToGrid w:val="0"/>
          <w:szCs w:val="24"/>
          <w:lang w:eastAsia="fr-FR"/>
        </w:rPr>
        <w:br/>
        <w:t>Organismes chargés de l’exécution des programmes simples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Au terme d'une </w:t>
      </w:r>
      <w:r w:rsidRPr="003B458D">
        <w:rPr>
          <w:b/>
          <w:i/>
          <w:snapToGrid w:val="0"/>
          <w:szCs w:val="24"/>
          <w:lang w:eastAsia="fr-FR"/>
        </w:rPr>
        <w:t xml:space="preserve">procédure de </w:t>
      </w:r>
      <w:r w:rsidRPr="003B458D">
        <w:rPr>
          <w:snapToGrid w:val="0"/>
          <w:szCs w:val="24"/>
          <w:lang w:eastAsia="fr-FR"/>
        </w:rPr>
        <w:t>mise en concurrence par des moyens appropriés, l'entité proposante choisit les organismes qui exécutent les programmes simples sélectionnés, notamment en vue de garantir une exécution efficace des actions.</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2.</w:t>
      </w:r>
      <w:r w:rsidRPr="003B458D">
        <w:rPr>
          <w:b/>
          <w:i/>
          <w:snapToGrid w:val="0"/>
          <w:szCs w:val="24"/>
          <w:lang w:eastAsia="fr-FR"/>
        </w:rPr>
        <w:tab/>
        <w:t>Par dérogation au paragraphe 1, une entité proposante peut être autorisée à exécuter elle</w:t>
      </w:r>
      <w:r w:rsidRPr="003B458D">
        <w:rPr>
          <w:b/>
          <w:i/>
          <w:snapToGrid w:val="0"/>
          <w:szCs w:val="24"/>
          <w:lang w:eastAsia="fr-FR"/>
        </w:rPr>
        <w:noBreakHyphen/>
        <w:t xml:space="preserve">même certaines parties du programme, sous réserve du respect de certaines conditions quant à l'expérience dont elle dispose dans la mise en œuvre de telles mesures et en fonction des tarifs pratiqués couramment sur le marché et de la contribution de l'entité proposante au coût total de l'exécution du programme.    </w:t>
      </w:r>
    </w:p>
    <w:p w:rsidR="002022AB" w:rsidRPr="003B458D" w:rsidRDefault="002022AB" w:rsidP="00075179">
      <w:pPr>
        <w:spacing w:before="120" w:after="120" w:line="360" w:lineRule="auto"/>
        <w:jc w:val="center"/>
        <w:rPr>
          <w:snapToGrid w:val="0"/>
          <w:szCs w:val="24"/>
          <w:lang w:eastAsia="fr-FR"/>
        </w:rPr>
      </w:pPr>
      <w:r>
        <w:rPr>
          <w:snapToGrid w:val="0"/>
          <w:szCs w:val="24"/>
          <w:lang w:eastAsia="fr-FR"/>
        </w:rPr>
        <w:br w:type="page"/>
      </w:r>
      <w:r w:rsidRPr="003B458D">
        <w:rPr>
          <w:snapToGrid w:val="0"/>
          <w:szCs w:val="24"/>
          <w:lang w:eastAsia="fr-FR"/>
        </w:rPr>
        <w:t>Article 14</w:t>
      </w:r>
      <w:r w:rsidRPr="003B458D">
        <w:rPr>
          <w:snapToGrid w:val="0"/>
          <w:szCs w:val="24"/>
          <w:lang w:eastAsia="fr-FR"/>
        </w:rPr>
        <w:br/>
        <w:t>Exécution, suivi et contrôle des programmes simples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Les États membres concernés sont responsables de la bonne exécution des programmes simples sélectionnés au titre de l'article 11, ainsi que des paiements y afférents. Les États membres veillent à ce que le matériel d’information et de promotion produit dans le cadre desdits programmes soit conforme à la réglementation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t xml:space="preserve">L'exécution, le suivi et le contrôle des programmes simples sont effectués par les États membres en conformité avec le règlement (UE) n° 1306/2013 du Parlement européen et du Conseil et suivant les modalités à adopter en vertu de l'article </w:t>
      </w:r>
      <w:r>
        <w:rPr>
          <w:snapToGrid w:val="0"/>
          <w:szCs w:val="24"/>
          <w:lang w:eastAsia="fr-FR"/>
        </w:rPr>
        <w:t>23</w:t>
      </w:r>
      <w:r w:rsidRPr="003B458D">
        <w:rPr>
          <w:snapToGrid w:val="0"/>
          <w:szCs w:val="24"/>
          <w:lang w:eastAsia="fr-FR"/>
        </w:rPr>
        <w:t xml:space="preserve">, premier alinéa, point a). </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15</w:t>
      </w:r>
      <w:r w:rsidRPr="003B458D">
        <w:rPr>
          <w:snapToGrid w:val="0"/>
          <w:szCs w:val="24"/>
          <w:lang w:eastAsia="fr-FR"/>
        </w:rPr>
        <w:br/>
        <w:t>Dispositions financières relatives aux programmes simples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La contribution financière de l'Union aux programmes simples </w:t>
      </w:r>
      <w:r w:rsidRPr="003B458D">
        <w:rPr>
          <w:b/>
          <w:i/>
          <w:snapToGrid w:val="0"/>
          <w:szCs w:val="24"/>
          <w:lang w:eastAsia="fr-FR"/>
        </w:rPr>
        <w:t>couvre</w:t>
      </w:r>
      <w:r w:rsidRPr="003B458D">
        <w:rPr>
          <w:snapToGrid w:val="0"/>
          <w:szCs w:val="24"/>
          <w:lang w:eastAsia="fr-FR"/>
        </w:rPr>
        <w:t xml:space="preserve"> </w:t>
      </w:r>
      <w:r w:rsidRPr="003B458D">
        <w:rPr>
          <w:b/>
          <w:i/>
          <w:snapToGrid w:val="0"/>
          <w:szCs w:val="24"/>
          <w:lang w:eastAsia="fr-FR"/>
        </w:rPr>
        <w:t>70 %</w:t>
      </w:r>
      <w:r w:rsidRPr="003B458D">
        <w:rPr>
          <w:snapToGrid w:val="0"/>
          <w:szCs w:val="24"/>
          <w:lang w:eastAsia="fr-FR"/>
        </w:rPr>
        <w:t xml:space="preserve"> de la dépense admissible </w:t>
      </w:r>
      <w:r w:rsidRPr="003B458D">
        <w:rPr>
          <w:b/>
          <w:i/>
          <w:snapToGrid w:val="0"/>
          <w:szCs w:val="24"/>
          <w:lang w:eastAsia="fr-FR"/>
        </w:rPr>
        <w:t>sur le marché intérieur et 80 % dans les pays tiers</w:t>
      </w:r>
      <w:r w:rsidRPr="003B458D">
        <w:rPr>
          <w:snapToGrid w:val="0"/>
          <w:szCs w:val="24"/>
          <w:lang w:eastAsia="fr-FR"/>
        </w:rPr>
        <w:t>. Le reste de la dépense est à la charge exclusive des entités proposantes.</w:t>
      </w:r>
    </w:p>
    <w:p w:rsidR="002022AB" w:rsidRPr="003B458D" w:rsidRDefault="002022AB" w:rsidP="00075179">
      <w:pPr>
        <w:spacing w:line="360" w:lineRule="auto"/>
        <w:ind w:left="851" w:hanging="851"/>
        <w:jc w:val="both"/>
        <w:rPr>
          <w:snapToGrid w:val="0"/>
          <w:szCs w:val="24"/>
          <w:lang w:eastAsia="fr-FR"/>
        </w:rPr>
      </w:pPr>
      <w:r>
        <w:rPr>
          <w:snapToGrid w:val="0"/>
          <w:szCs w:val="24"/>
          <w:lang w:eastAsia="fr-FR"/>
        </w:rPr>
        <w:br w:type="page"/>
      </w:r>
      <w:r w:rsidRPr="003B458D">
        <w:rPr>
          <w:snapToGrid w:val="0"/>
          <w:szCs w:val="24"/>
          <w:lang w:eastAsia="fr-FR"/>
        </w:rPr>
        <w:t>2.</w:t>
      </w:r>
      <w:r w:rsidRPr="003B458D">
        <w:rPr>
          <w:snapToGrid w:val="0"/>
          <w:szCs w:val="24"/>
          <w:lang w:eastAsia="fr-FR"/>
        </w:rPr>
        <w:tab/>
      </w:r>
      <w:r w:rsidRPr="003B458D">
        <w:rPr>
          <w:b/>
          <w:i/>
          <w:snapToGrid w:val="0"/>
          <w:szCs w:val="24"/>
          <w:lang w:eastAsia="fr-FR"/>
        </w:rPr>
        <w:t>Les pourcentages visés</w:t>
      </w:r>
      <w:r w:rsidRPr="003B458D">
        <w:rPr>
          <w:snapToGrid w:val="0"/>
          <w:szCs w:val="24"/>
          <w:lang w:eastAsia="fr-FR"/>
        </w:rPr>
        <w:t xml:space="preserve"> au paragraphe 1 </w:t>
      </w:r>
      <w:r w:rsidRPr="003B458D">
        <w:rPr>
          <w:b/>
          <w:i/>
          <w:snapToGrid w:val="0"/>
          <w:szCs w:val="24"/>
          <w:lang w:eastAsia="fr-FR"/>
        </w:rPr>
        <w:t>sont portés</w:t>
      </w:r>
      <w:r w:rsidRPr="003B458D">
        <w:rPr>
          <w:snapToGrid w:val="0"/>
          <w:szCs w:val="24"/>
          <w:lang w:eastAsia="fr-FR"/>
        </w:rPr>
        <w:t xml:space="preserve"> à </w:t>
      </w:r>
      <w:r w:rsidRPr="003B458D">
        <w:rPr>
          <w:b/>
          <w:i/>
          <w:snapToGrid w:val="0"/>
          <w:szCs w:val="24"/>
          <w:lang w:eastAsia="fr-FR"/>
        </w:rPr>
        <w:t>85 %</w:t>
      </w:r>
      <w:r w:rsidRPr="003B458D">
        <w:rPr>
          <w:snapToGrid w:val="0"/>
          <w:szCs w:val="24"/>
          <w:lang w:eastAsia="fr-FR"/>
        </w:rPr>
        <w:t xml:space="preserve"> </w:t>
      </w:r>
      <w:r w:rsidRPr="003B458D">
        <w:rPr>
          <w:b/>
          <w:i/>
          <w:snapToGrid w:val="0"/>
          <w:szCs w:val="24"/>
          <w:lang w:eastAsia="fr-FR"/>
        </w:rPr>
        <w:t>en cas de grave perturbation du marché, de perte de confiance des consommateurs ou d'autres problèmes spécifiques visés à l'article 2, point e)</w:t>
      </w:r>
      <w:r w:rsidRPr="003B458D">
        <w:rPr>
          <w:snapToGrid w:val="0"/>
          <w:szCs w:val="24"/>
          <w:lang w:eastAsia="fr-FR"/>
        </w:rPr>
        <w: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 </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3.</w:t>
      </w:r>
      <w:r w:rsidRPr="003B458D">
        <w:rPr>
          <w:b/>
          <w:i/>
          <w:snapToGrid w:val="0"/>
          <w:szCs w:val="24"/>
          <w:lang w:eastAsia="fr-FR"/>
        </w:rPr>
        <w:tab/>
        <w:t>Par dérogation aux paragraphes 1 et 2, dans le cas des entités proposantes établies dans des États membres qui se trouvent sous assistance financière au 1</w:t>
      </w:r>
      <w:r w:rsidRPr="003B458D">
        <w:rPr>
          <w:b/>
          <w:i/>
          <w:snapToGrid w:val="0"/>
          <w:szCs w:val="24"/>
          <w:vertAlign w:val="superscript"/>
          <w:lang w:eastAsia="fr-FR"/>
        </w:rPr>
        <w:t>er </w:t>
      </w:r>
      <w:r w:rsidRPr="003B458D">
        <w:rPr>
          <w:b/>
          <w:i/>
          <w:snapToGrid w:val="0"/>
          <w:szCs w:val="24"/>
          <w:lang w:eastAsia="fr-FR"/>
        </w:rPr>
        <w:t>janvier 2014 ou au</w:t>
      </w:r>
      <w:r w:rsidRPr="003B458D">
        <w:rPr>
          <w:b/>
          <w:i/>
          <w:snapToGrid w:val="0"/>
          <w:szCs w:val="24"/>
          <w:lang w:eastAsia="fr-FR"/>
        </w:rPr>
        <w:noBreakHyphen/>
        <w:t>delà de cette date conformément aux articles 136 et 143 du traité FUE, les pourcentages visés au paragraphe 1 sont portés à 75 % et à 85 %, respectivement, et le pourcentage visé au paragraphe 2 est porté à 90 %.</w:t>
      </w:r>
    </w:p>
    <w:p w:rsidR="002022AB" w:rsidRPr="003B458D" w:rsidRDefault="002022AB" w:rsidP="00075179">
      <w:pPr>
        <w:spacing w:before="120" w:after="120" w:line="360" w:lineRule="auto"/>
        <w:ind w:left="851"/>
        <w:jc w:val="both"/>
        <w:rPr>
          <w:b/>
          <w:i/>
          <w:snapToGrid w:val="0"/>
          <w:szCs w:val="24"/>
          <w:lang w:eastAsia="fr-FR"/>
        </w:rPr>
      </w:pPr>
      <w:r w:rsidRPr="003B458D">
        <w:rPr>
          <w:b/>
          <w:i/>
          <w:snapToGrid w:val="0"/>
          <w:szCs w:val="24"/>
          <w:lang w:eastAsia="fr-FR"/>
        </w:rPr>
        <w:t>Le premier alinéa ne s'applique qu'aux programmes adoptés par la Commission avant la date à compter de laquelle l'État membre concerné cesse de bénéficier de l'assistance financière.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4.</w:t>
      </w:r>
      <w:r w:rsidRPr="003B458D">
        <w:rPr>
          <w:snapToGrid w:val="0"/>
          <w:szCs w:val="24"/>
          <w:lang w:eastAsia="fr-FR"/>
        </w:rPr>
        <w:tab/>
        <w:t>Les études d'évaluation des résultats des actions d'information et de promotion entreprises conformément à l'article 27 sont éligibles au financement de l'Union dans les conditions similaires à celles du programme simple.</w:t>
      </w:r>
    </w:p>
    <w:p w:rsidR="002022AB" w:rsidRPr="003B458D" w:rsidRDefault="002022AB" w:rsidP="00075179">
      <w:pPr>
        <w:spacing w:before="120" w:after="120" w:line="360" w:lineRule="auto"/>
        <w:ind w:left="851" w:hanging="851"/>
        <w:jc w:val="both"/>
        <w:rPr>
          <w:snapToGrid w:val="0"/>
          <w:szCs w:val="24"/>
          <w:lang w:eastAsia="fr-FR"/>
        </w:rPr>
      </w:pPr>
      <w:r>
        <w:rPr>
          <w:snapToGrid w:val="0"/>
          <w:szCs w:val="24"/>
          <w:lang w:eastAsia="fr-FR"/>
        </w:rPr>
        <w:br w:type="page"/>
      </w:r>
      <w:r w:rsidRPr="003B458D">
        <w:rPr>
          <w:snapToGrid w:val="0"/>
          <w:szCs w:val="24"/>
          <w:lang w:eastAsia="fr-FR"/>
        </w:rPr>
        <w:t>5.</w:t>
      </w:r>
      <w:r w:rsidRPr="003B458D">
        <w:rPr>
          <w:snapToGrid w:val="0"/>
          <w:szCs w:val="24"/>
          <w:lang w:eastAsia="fr-FR"/>
        </w:rPr>
        <w:tab/>
        <w:t xml:space="preserve">L'Union finance entièrement les frais d'expertise liés à la sélection des programmes conformément à l'article 4, paragraphe </w:t>
      </w:r>
      <w:r>
        <w:rPr>
          <w:snapToGrid w:val="0"/>
          <w:szCs w:val="24"/>
          <w:lang w:eastAsia="fr-FR"/>
        </w:rPr>
        <w:t>1</w:t>
      </w:r>
      <w:r w:rsidRPr="003B458D">
        <w:rPr>
          <w:snapToGrid w:val="0"/>
          <w:szCs w:val="24"/>
          <w:lang w:eastAsia="fr-FR"/>
        </w:rPr>
        <w:t>, point a), du règlement (UE) n° 1306/2013 du Parlement européen et du Conseil.</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6.</w:t>
      </w:r>
      <w:r w:rsidRPr="003B458D">
        <w:rPr>
          <w:snapToGrid w:val="0"/>
          <w:szCs w:val="24"/>
          <w:lang w:eastAsia="fr-FR"/>
        </w:rPr>
        <w:tab/>
        <w:t>Afin d’assurer la bonne mise en œuvre des programmes simples, les entités proposantes constituent des garanties.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7.</w:t>
      </w:r>
      <w:r w:rsidRPr="003B458D">
        <w:rPr>
          <w:snapToGrid w:val="0"/>
          <w:szCs w:val="24"/>
          <w:lang w:eastAsia="fr-FR"/>
        </w:rPr>
        <w:tab/>
        <w:t>Le financement par l'Union des actions d'information et de promotion mis en œuvre via des programmes simples est effectué conformément à l'article 4, paragraphe 2, point c), du règlement (UE) n° 1306/2013 du Parlement européen et du Conseil.</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SECTION 3</w:t>
      </w:r>
      <w:r w:rsidRPr="003B458D">
        <w:rPr>
          <w:snapToGrid w:val="0"/>
          <w:szCs w:val="24"/>
          <w:lang w:eastAsia="fr-FR"/>
        </w:rPr>
        <w:br/>
        <w:t>MISE EN ŒUVRE ET GESTION DES PROGRAMMES MULTIPLES ET DES ACTIONS À L'INITIATIVE DE LA COMMISSION</w:t>
      </w:r>
    </w:p>
    <w:p w:rsidR="002022AB" w:rsidRPr="003B458D" w:rsidRDefault="002022AB" w:rsidP="00075179">
      <w:pPr>
        <w:jc w:val="center"/>
        <w:rPr>
          <w:snapToGrid w:val="0"/>
          <w:szCs w:val="24"/>
          <w:lang w:eastAsia="fr-FR"/>
        </w:rPr>
      </w:pPr>
      <w:r w:rsidRPr="003B458D">
        <w:rPr>
          <w:snapToGrid w:val="0"/>
          <w:szCs w:val="24"/>
          <w:lang w:eastAsia="fr-FR"/>
        </w:rPr>
        <w:t>Article 16</w:t>
      </w:r>
      <w:r w:rsidRPr="003B458D">
        <w:rPr>
          <w:snapToGrid w:val="0"/>
          <w:szCs w:val="24"/>
          <w:lang w:eastAsia="fr-FR"/>
        </w:rPr>
        <w:br/>
        <w:t>Formes de financement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Le financement peut prendre une ou plusieurs des formes prévues par le règlement (UE, Euratom) n° 966/2012 et notamment consister en des:</w:t>
      </w:r>
    </w:p>
    <w:p w:rsidR="002022AB" w:rsidRPr="003B458D" w:rsidRDefault="002022AB" w:rsidP="00075179">
      <w:pPr>
        <w:spacing w:before="120" w:after="120" w:line="360" w:lineRule="auto"/>
        <w:ind w:left="1418" w:hanging="567"/>
        <w:jc w:val="both"/>
        <w:rPr>
          <w:snapToGrid w:val="0"/>
          <w:szCs w:val="24"/>
          <w:lang w:eastAsia="fr-FR"/>
        </w:rPr>
      </w:pPr>
      <w:r w:rsidRPr="003B458D">
        <w:rPr>
          <w:snapToGrid w:val="0"/>
          <w:szCs w:val="24"/>
          <w:lang w:eastAsia="fr-FR"/>
        </w:rPr>
        <w:t>a)</w:t>
      </w:r>
      <w:r w:rsidRPr="003B458D">
        <w:rPr>
          <w:snapToGrid w:val="0"/>
          <w:szCs w:val="24"/>
          <w:lang w:eastAsia="fr-FR"/>
        </w:rPr>
        <w:tab/>
        <w:t>subventions pour les programmes multi;</w:t>
      </w:r>
    </w:p>
    <w:p w:rsidR="002022AB" w:rsidRPr="003B458D" w:rsidRDefault="002022AB" w:rsidP="00075179">
      <w:pPr>
        <w:spacing w:before="120" w:after="120" w:line="360" w:lineRule="auto"/>
        <w:ind w:left="1418" w:hanging="567"/>
        <w:jc w:val="both"/>
        <w:rPr>
          <w:snapToGrid w:val="0"/>
          <w:szCs w:val="24"/>
          <w:lang w:eastAsia="fr-FR"/>
        </w:rPr>
      </w:pPr>
      <w:r>
        <w:rPr>
          <w:snapToGrid w:val="0"/>
          <w:szCs w:val="24"/>
          <w:lang w:eastAsia="fr-FR"/>
        </w:rPr>
        <w:br w:type="page"/>
      </w:r>
      <w:r w:rsidRPr="003B458D">
        <w:rPr>
          <w:snapToGrid w:val="0"/>
          <w:szCs w:val="24"/>
          <w:lang w:eastAsia="fr-FR"/>
        </w:rPr>
        <w:t>b)</w:t>
      </w:r>
      <w:r w:rsidRPr="003B458D">
        <w:rPr>
          <w:snapToGrid w:val="0"/>
          <w:szCs w:val="24"/>
          <w:lang w:eastAsia="fr-FR"/>
        </w:rPr>
        <w:tab/>
        <w:t>marchés pour les actions à l'initiative de la Commission.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t xml:space="preserve">Le financement par l'Union des actions d'information et de promotion mises en œuvre via des programmes multi ou sur initiative de la Commission est effectué conformément à l’article 4, paragraphe 2, point a) du règlement (UE) </w:t>
      </w:r>
      <w:r w:rsidRPr="003B458D">
        <w:rPr>
          <w:b/>
          <w:i/>
          <w:snapToGrid w:val="0"/>
          <w:szCs w:val="24"/>
          <w:lang w:eastAsia="fr-FR"/>
        </w:rPr>
        <w:t>n°</w:t>
      </w:r>
      <w:r w:rsidRPr="003B458D">
        <w:rPr>
          <w:snapToGrid w:val="0"/>
          <w:szCs w:val="24"/>
          <w:lang w:eastAsia="fr-FR"/>
        </w:rPr>
        <w:t> </w:t>
      </w:r>
      <w:r w:rsidRPr="003B458D">
        <w:rPr>
          <w:b/>
          <w:i/>
          <w:snapToGrid w:val="0"/>
          <w:szCs w:val="24"/>
          <w:lang w:eastAsia="fr-FR"/>
        </w:rPr>
        <w:t>1306/2013</w:t>
      </w:r>
      <w:r w:rsidRPr="003B458D">
        <w:rPr>
          <w:snapToGrid w:val="0"/>
          <w:szCs w:val="24"/>
          <w:lang w:eastAsia="fr-FR"/>
        </w:rPr>
        <w:t xml:space="preserve"> du Parlement européen et du Conseil. </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17</w:t>
      </w:r>
      <w:r w:rsidRPr="003B458D">
        <w:rPr>
          <w:snapToGrid w:val="0"/>
          <w:szCs w:val="24"/>
          <w:lang w:eastAsia="fr-FR"/>
        </w:rPr>
        <w:br/>
        <w:t>Évaluation des programmes multiples</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Les propositions de programmes multiples sont évaluées et sélectionnées sur la base des critères annoncés dans l’appel à propositions visé à l'article 8, paragraphe 2</w:t>
      </w:r>
      <w:r>
        <w:rPr>
          <w:snapToGrid w:val="0"/>
          <w:szCs w:val="24"/>
          <w:lang w:eastAsia="fr-FR"/>
        </w:rPr>
        <w:t>, point b)</w:t>
      </w:r>
      <w:r w:rsidRPr="003B458D">
        <w:rPr>
          <w:snapToGrid w:val="0"/>
          <w:szCs w:val="24"/>
          <w:lang w:eastAsia="fr-FR"/>
        </w:rPr>
        <w:t>.</w:t>
      </w:r>
    </w:p>
    <w:p w:rsidR="002022AB" w:rsidRPr="003B458D" w:rsidRDefault="002022AB" w:rsidP="00075179">
      <w:pPr>
        <w:spacing w:before="120" w:after="120" w:line="360" w:lineRule="auto"/>
        <w:jc w:val="center"/>
        <w:rPr>
          <w:b/>
          <w:i/>
          <w:snapToGrid w:val="0"/>
          <w:szCs w:val="24"/>
          <w:lang w:eastAsia="fr-FR"/>
        </w:rPr>
      </w:pPr>
      <w:r w:rsidRPr="003B458D">
        <w:rPr>
          <w:b/>
          <w:i/>
          <w:snapToGrid w:val="0"/>
          <w:szCs w:val="24"/>
          <w:lang w:eastAsia="fr-FR"/>
        </w:rPr>
        <w:t>Article 18</w:t>
      </w:r>
      <w:r w:rsidRPr="003B458D">
        <w:rPr>
          <w:b/>
          <w:i/>
          <w:snapToGrid w:val="0"/>
          <w:szCs w:val="24"/>
          <w:lang w:eastAsia="fr-FR"/>
        </w:rPr>
        <w:br/>
        <w:t>Informations concernant l'exécution des programmes multiples</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La Commission fournit en temps utile au comité visé à l'article 25 des informations sur tous les programmes proposés ou sélectionnés.</w:t>
      </w:r>
    </w:p>
    <w:p w:rsidR="002022AB" w:rsidRPr="003B458D" w:rsidRDefault="002022AB" w:rsidP="00075179">
      <w:pPr>
        <w:spacing w:before="120" w:after="120" w:line="360" w:lineRule="auto"/>
        <w:jc w:val="center"/>
        <w:rPr>
          <w:snapToGrid w:val="0"/>
          <w:szCs w:val="24"/>
          <w:lang w:eastAsia="fr-FR"/>
        </w:rPr>
      </w:pPr>
      <w:r>
        <w:rPr>
          <w:snapToGrid w:val="0"/>
          <w:szCs w:val="24"/>
          <w:lang w:eastAsia="fr-FR"/>
        </w:rPr>
        <w:br w:type="page"/>
      </w:r>
      <w:r w:rsidRPr="003B458D">
        <w:rPr>
          <w:snapToGrid w:val="0"/>
          <w:szCs w:val="24"/>
          <w:lang w:eastAsia="fr-FR"/>
        </w:rPr>
        <w:t>Article 19</w:t>
      </w:r>
      <w:r w:rsidRPr="003B458D">
        <w:rPr>
          <w:snapToGrid w:val="0"/>
          <w:szCs w:val="24"/>
          <w:lang w:eastAsia="fr-FR"/>
        </w:rPr>
        <w:br/>
        <w:t>Dispositions financières relatives aux programmes multiples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r>
      <w:r w:rsidRPr="003B458D">
        <w:rPr>
          <w:b/>
          <w:i/>
          <w:snapToGrid w:val="0"/>
          <w:szCs w:val="24"/>
          <w:lang w:eastAsia="fr-FR"/>
        </w:rPr>
        <w:t>La contribution financière de l'Union aux programmes multiples couvre 80 %</w:t>
      </w:r>
      <w:r w:rsidRPr="003B458D">
        <w:rPr>
          <w:snapToGrid w:val="0"/>
          <w:szCs w:val="24"/>
          <w:lang w:eastAsia="fr-FR"/>
        </w:rPr>
        <w:t xml:space="preserve"> </w:t>
      </w:r>
      <w:r w:rsidRPr="003B458D">
        <w:rPr>
          <w:b/>
          <w:i/>
          <w:snapToGrid w:val="0"/>
          <w:szCs w:val="24"/>
          <w:lang w:eastAsia="fr-FR"/>
        </w:rPr>
        <w:t>de la dépense</w:t>
      </w:r>
      <w:r w:rsidRPr="003B458D">
        <w:rPr>
          <w:snapToGrid w:val="0"/>
          <w:szCs w:val="24"/>
          <w:lang w:eastAsia="fr-FR"/>
        </w:rPr>
        <w:t xml:space="preserve"> </w:t>
      </w:r>
      <w:r w:rsidRPr="003B458D">
        <w:rPr>
          <w:b/>
          <w:i/>
          <w:snapToGrid w:val="0"/>
          <w:szCs w:val="24"/>
          <w:lang w:eastAsia="fr-FR"/>
        </w:rPr>
        <w:t>admissible</w:t>
      </w:r>
      <w:r w:rsidRPr="003B458D">
        <w:rPr>
          <w:snapToGrid w:val="0"/>
          <w:szCs w:val="24"/>
          <w:lang w:eastAsia="fr-FR"/>
        </w:rPr>
        <w:t>. Le reste de la dépense est à la charge exclusive des entités proposantes.</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2.</w:t>
      </w:r>
      <w:r w:rsidRPr="003B458D">
        <w:rPr>
          <w:b/>
          <w:i/>
          <w:snapToGrid w:val="0"/>
          <w:szCs w:val="24"/>
          <w:lang w:eastAsia="fr-FR"/>
        </w:rPr>
        <w:tab/>
        <w:t xml:space="preserve">Le pourcentage visé au paragraphe 1 est porté à 85 % en cas de grave perturbation du marché, de perte de confiance des consommateurs ou d'autres problèmes spécifiques visés à l'article 2, point </w:t>
      </w:r>
      <w:r>
        <w:rPr>
          <w:b/>
          <w:i/>
          <w:snapToGrid w:val="0"/>
          <w:szCs w:val="24"/>
          <w:lang w:eastAsia="fr-FR"/>
        </w:rPr>
        <w:t>d</w:t>
      </w:r>
      <w:r w:rsidRPr="003B458D">
        <w:rPr>
          <w:b/>
          <w:i/>
          <w:snapToGrid w:val="0"/>
          <w:szCs w:val="24"/>
          <w:lang w:eastAsia="fr-FR"/>
        </w:rPr>
        <w:t>).</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3.</w:t>
      </w:r>
      <w:r w:rsidRPr="003B458D">
        <w:rPr>
          <w:b/>
          <w:i/>
          <w:snapToGrid w:val="0"/>
          <w:szCs w:val="24"/>
          <w:lang w:eastAsia="fr-FR"/>
        </w:rPr>
        <w:tab/>
        <w:t>Par dérogation aux paragraphes 1 et 2, dans le cas des entités proposantes établies dans des États membres qui se trouvent sous assistance financière au 1</w:t>
      </w:r>
      <w:r w:rsidRPr="003B458D">
        <w:rPr>
          <w:b/>
          <w:i/>
          <w:snapToGrid w:val="0"/>
          <w:szCs w:val="24"/>
          <w:vertAlign w:val="superscript"/>
          <w:lang w:eastAsia="fr-FR"/>
        </w:rPr>
        <w:t>er </w:t>
      </w:r>
      <w:r w:rsidRPr="003B458D">
        <w:rPr>
          <w:b/>
          <w:i/>
          <w:snapToGrid w:val="0"/>
          <w:szCs w:val="24"/>
          <w:lang w:eastAsia="fr-FR"/>
        </w:rPr>
        <w:t>janvier 2014 ou au</w:t>
      </w:r>
      <w:r w:rsidRPr="003B458D">
        <w:rPr>
          <w:b/>
          <w:i/>
          <w:snapToGrid w:val="0"/>
          <w:szCs w:val="24"/>
          <w:lang w:eastAsia="fr-FR"/>
        </w:rPr>
        <w:noBreakHyphen/>
        <w:t>delà de cette date conformément aux articles 136 et 143 du traité FUE, les pourcentages visés aux paragraphes 1 et 2 sont portés à 85 % et 90 %, respectivement.</w:t>
      </w:r>
    </w:p>
    <w:p w:rsidR="002022AB" w:rsidRPr="003B458D" w:rsidRDefault="002022AB" w:rsidP="00075179">
      <w:pPr>
        <w:spacing w:before="120" w:after="120" w:line="360" w:lineRule="auto"/>
        <w:ind w:left="851"/>
        <w:jc w:val="both"/>
        <w:rPr>
          <w:b/>
          <w:i/>
          <w:snapToGrid w:val="0"/>
          <w:szCs w:val="24"/>
          <w:lang w:eastAsia="fr-FR"/>
        </w:rPr>
      </w:pPr>
      <w:r w:rsidRPr="003B458D">
        <w:rPr>
          <w:b/>
          <w:i/>
          <w:snapToGrid w:val="0"/>
          <w:szCs w:val="24"/>
          <w:lang w:eastAsia="fr-FR"/>
        </w:rPr>
        <w:t>Le premier alinéa ne s'applique qu'aux programmes adoptés par la Commission avant la date à compter de laquelle l'État membre concerné cesse de bénéficier de l'assistance financière.</w:t>
      </w:r>
    </w:p>
    <w:p w:rsidR="002022AB" w:rsidRPr="003B458D" w:rsidRDefault="002022AB" w:rsidP="00075179">
      <w:pPr>
        <w:spacing w:before="120" w:after="120" w:line="360" w:lineRule="auto"/>
        <w:jc w:val="center"/>
        <w:rPr>
          <w:snapToGrid w:val="0"/>
          <w:szCs w:val="24"/>
          <w:lang w:eastAsia="fr-FR"/>
        </w:rPr>
      </w:pPr>
      <w:r>
        <w:rPr>
          <w:snapToGrid w:val="0"/>
          <w:szCs w:val="24"/>
          <w:lang w:eastAsia="fr-FR"/>
        </w:rPr>
        <w:br w:type="page"/>
      </w:r>
      <w:r w:rsidRPr="003B458D">
        <w:rPr>
          <w:snapToGrid w:val="0"/>
          <w:szCs w:val="24"/>
          <w:lang w:eastAsia="fr-FR"/>
        </w:rPr>
        <w:t>Article 20</w:t>
      </w:r>
      <w:r w:rsidRPr="003B458D">
        <w:rPr>
          <w:snapToGrid w:val="0"/>
          <w:szCs w:val="24"/>
          <w:lang w:eastAsia="fr-FR"/>
        </w:rPr>
        <w:br/>
        <w:t>Passation des marchés pour les actions à l'initiative de la Commission</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Toute passation de marchés effectuée par la Commission en son nom propre ou conjointement avec des États membres est soumise aux règles relatives à la passation des marchés énoncées dans le règlement (UE) n° 966/2012 et le règlement délégué (UE) n° 1268/2012.</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21</w:t>
      </w:r>
      <w:r w:rsidRPr="003B458D">
        <w:rPr>
          <w:snapToGrid w:val="0"/>
          <w:szCs w:val="24"/>
          <w:lang w:eastAsia="fr-FR"/>
        </w:rPr>
        <w:br/>
        <w:t>Protection des intérêts financiers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La Commission prend les mesures appropriées pour garantir la protection des intérêts financiers de l’Union lors de la mise en œuvre d’actions financées au titre de la présente section, par l’application de mesures préventives contre la fraude, la corruption et toute autre activité illégale, par des contrôles efficaces et, si des irrégularités sont décelées, par la récupération des montants indûment versés et, si nécessaire, par des sanctions administratives et financières efficaces, proportionnées et dissuasives.</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t>La Commission ou ses représentants et la Cour des comptes disposent d’un pouvoir d’audit, sur pièces et sur place, à l’égard de tous les bénéficiaires de subventions, contractants et sous-traitants qui ont reçu des fonds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3.</w:t>
      </w:r>
      <w:r w:rsidRPr="003B458D">
        <w:rPr>
          <w:snapToGrid w:val="0"/>
          <w:szCs w:val="24"/>
          <w:lang w:eastAsia="fr-FR"/>
        </w:rPr>
        <w:tab/>
        <w:t>L’Office européen de lutte antifraude (OLAF) peut mener des enquêtes, y compris des contrôles et vérifications sur place, conformément aux dispositions et procédures prévues par le règlement (UE, Euratom) n° 883/2013 du Parlement européen et du Conseil et le règlement (Euratom, CE) nº 2185/96 du Conseil en vue d’établir l’existence éventuelle d’une fraude, d’un acte de corruption ou de toute autre activité illégale portant atteinte aux intérêts financiers de l’Union, dans le cadre d’une convention de subvention, d’une décision de subvention ou d’un contrat concernant des fonds de l'Union.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4.</w:t>
      </w:r>
      <w:r w:rsidRPr="003B458D">
        <w:rPr>
          <w:snapToGrid w:val="0"/>
          <w:szCs w:val="24"/>
          <w:lang w:eastAsia="fr-FR"/>
        </w:rPr>
        <w:tab/>
        <w:t>Sans préjudice des paragraphes 1, 2 et 3, les accords de coopération avec des pays tiers et des organisations internationales, les contrats, les conventions de subvention et les décisions de subvention résultant de la mise en œuvre du présent programme, contiennent des dispositions qui habilitent expressément la Cour des comptes européenne et l’OLAF à effectuer les audits et enquêtes en question selon leurs compétences respectives.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SECTION 4</w:t>
      </w:r>
      <w:r w:rsidRPr="003B458D">
        <w:rPr>
          <w:snapToGrid w:val="0"/>
          <w:szCs w:val="24"/>
          <w:lang w:eastAsia="fr-FR"/>
        </w:rPr>
        <w:br/>
        <w:t>POUVOIRS DÉLÉGUÉS ET POUVOIRS D'EXÉCUTION</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22</w:t>
      </w:r>
      <w:r w:rsidRPr="003B458D">
        <w:rPr>
          <w:snapToGrid w:val="0"/>
          <w:szCs w:val="24"/>
          <w:lang w:eastAsia="fr-FR"/>
        </w:rPr>
        <w:br/>
        <w:t>Pouvoirs délégués</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La Commission est habilitée à adopter des actes délégués en conformité avec l'article </w:t>
      </w:r>
      <w:r w:rsidRPr="003B458D">
        <w:rPr>
          <w:b/>
          <w:i/>
          <w:snapToGrid w:val="0"/>
          <w:szCs w:val="24"/>
          <w:lang w:eastAsia="fr-FR"/>
        </w:rPr>
        <w:t>24</w:t>
      </w:r>
      <w:r w:rsidRPr="003B458D">
        <w:rPr>
          <w:snapToGrid w:val="0"/>
          <w:szCs w:val="24"/>
          <w:lang w:eastAsia="fr-FR"/>
        </w:rPr>
        <w:t xml:space="preserve"> en ce qui concerne: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a)</w:t>
      </w:r>
      <w:r w:rsidRPr="003B458D">
        <w:rPr>
          <w:snapToGrid w:val="0"/>
          <w:szCs w:val="24"/>
          <w:lang w:eastAsia="fr-FR"/>
        </w:rPr>
        <w:tab/>
        <w:t xml:space="preserve">les conditions </w:t>
      </w:r>
      <w:r w:rsidRPr="003B458D">
        <w:rPr>
          <w:b/>
          <w:i/>
          <w:snapToGrid w:val="0"/>
          <w:szCs w:val="24"/>
          <w:lang w:eastAsia="fr-FR"/>
        </w:rPr>
        <w:t xml:space="preserve">applicables à la procédure </w:t>
      </w:r>
      <w:r w:rsidRPr="003B458D">
        <w:rPr>
          <w:snapToGrid w:val="0"/>
          <w:szCs w:val="24"/>
          <w:lang w:eastAsia="fr-FR"/>
        </w:rPr>
        <w:t>de mise en concurrence des organismes d'exécution visés à l'article 13</w:t>
      </w:r>
      <w:r w:rsidRPr="003B458D">
        <w:rPr>
          <w:b/>
          <w:i/>
          <w:snapToGrid w:val="0"/>
          <w:szCs w:val="24"/>
          <w:lang w:eastAsia="fr-FR"/>
        </w:rPr>
        <w:t>, paragraphe 1</w:t>
      </w: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b)</w:t>
      </w:r>
      <w:r w:rsidRPr="003B458D">
        <w:rPr>
          <w:snapToGrid w:val="0"/>
          <w:szCs w:val="24"/>
          <w:lang w:eastAsia="fr-FR"/>
        </w:rPr>
        <w:tab/>
        <w:t>les conditions spécifiques d'éligibilité pour les programmes simples, des coûts des actions d'information et de promotion et si nécessaire de coûts administratifs et de personnel.</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23</w:t>
      </w:r>
      <w:r w:rsidRPr="003B458D">
        <w:rPr>
          <w:snapToGrid w:val="0"/>
          <w:szCs w:val="24"/>
          <w:lang w:eastAsia="fr-FR"/>
        </w:rPr>
        <w:br/>
        <w:t>Pouvoirs d'exécution</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La Commission adopte, par voie d’actes d’exécution: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a)</w:t>
      </w:r>
      <w:r w:rsidRPr="003B458D">
        <w:rPr>
          <w:snapToGrid w:val="0"/>
          <w:szCs w:val="24"/>
          <w:lang w:eastAsia="fr-FR"/>
        </w:rPr>
        <w:tab/>
      </w:r>
      <w:r w:rsidRPr="003B458D">
        <w:rPr>
          <w:b/>
          <w:i/>
          <w:snapToGrid w:val="0"/>
          <w:szCs w:val="24"/>
          <w:lang w:eastAsia="fr-FR"/>
        </w:rPr>
        <w:t>les règles détaillées selon lesquelles l'entité proposante peut être autorisée à exécuter elle-même certaines parties du programme, conformément à l'article 13, paragraphe 2</w:t>
      </w:r>
      <w:r w:rsidRPr="003B458D">
        <w:rPr>
          <w:snapToGrid w:val="0"/>
          <w:szCs w:val="24"/>
          <w:lang w:eastAsia="fr-FR"/>
        </w:rPr>
        <w: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b)</w:t>
      </w:r>
      <w:r w:rsidRPr="003B458D">
        <w:rPr>
          <w:snapToGrid w:val="0"/>
          <w:szCs w:val="24"/>
          <w:lang w:eastAsia="fr-FR"/>
        </w:rPr>
        <w:tab/>
        <w:t>les règles en ce qui concerne la conclusion de contrats portant sur la mise en œuvre des programmes simples sélectionnés au titre du présent règlement.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Ces actes d'exécution sont adoptés conformément à la procédure d'examen visée à l'article </w:t>
      </w:r>
      <w:r w:rsidRPr="003B458D">
        <w:rPr>
          <w:b/>
          <w:i/>
          <w:snapToGrid w:val="0"/>
          <w:szCs w:val="24"/>
          <w:lang w:eastAsia="fr-FR"/>
        </w:rPr>
        <w:t>25</w:t>
      </w:r>
      <w:r w:rsidRPr="003B458D">
        <w:rPr>
          <w:snapToGrid w:val="0"/>
          <w:szCs w:val="24"/>
          <w:lang w:eastAsia="fr-FR"/>
        </w:rPr>
        <w:t>, paragraphe 2.</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Chapitre III</w:t>
      </w:r>
      <w:r w:rsidRPr="003B458D">
        <w:rPr>
          <w:snapToGrid w:val="0"/>
          <w:szCs w:val="24"/>
          <w:lang w:eastAsia="fr-FR"/>
        </w:rPr>
        <w:br/>
        <w:t>DELEGATIONS DE POUVOIRS, DISPOSITIONS D’EXECUTION, DISPOSITIONS TRANSITOIRES ET FINALES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SECTION 1</w:t>
      </w:r>
      <w:r w:rsidRPr="003B458D">
        <w:rPr>
          <w:snapToGrid w:val="0"/>
          <w:szCs w:val="24"/>
          <w:lang w:eastAsia="fr-FR"/>
        </w:rPr>
        <w:br/>
        <w:t>DÉLÉGATION DE POUVOIRS ET DISPOSITIONS D'EXÉCUTION</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24</w:t>
      </w:r>
      <w:r w:rsidRPr="003B458D">
        <w:rPr>
          <w:snapToGrid w:val="0"/>
          <w:szCs w:val="24"/>
          <w:lang w:eastAsia="fr-FR"/>
        </w:rPr>
        <w:br/>
        <w:t>Exercice de la délégation</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Le pouvoir d'adopter des actes délégués </w:t>
      </w:r>
      <w:r w:rsidRPr="003B458D">
        <w:rPr>
          <w:b/>
          <w:i/>
          <w:snapToGrid w:val="0"/>
          <w:szCs w:val="24"/>
          <w:lang w:eastAsia="fr-FR"/>
        </w:rPr>
        <w:t>visé à l'article 22 qui est</w:t>
      </w:r>
      <w:r w:rsidRPr="003B458D">
        <w:rPr>
          <w:snapToGrid w:val="0"/>
          <w:szCs w:val="24"/>
          <w:lang w:eastAsia="fr-FR"/>
        </w:rPr>
        <w:t xml:space="preserve"> conféré à la Commission est soumis aux conditions fixées au présent article.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t xml:space="preserve">Le pouvoir d'adopter des actes délégués visé </w:t>
      </w:r>
      <w:r w:rsidRPr="003B458D">
        <w:rPr>
          <w:b/>
          <w:i/>
          <w:snapToGrid w:val="0"/>
          <w:szCs w:val="24"/>
          <w:lang w:eastAsia="fr-FR"/>
        </w:rPr>
        <w:t>à l'article 22</w:t>
      </w:r>
      <w:r w:rsidRPr="003B458D">
        <w:rPr>
          <w:snapToGrid w:val="0"/>
          <w:szCs w:val="24"/>
          <w:lang w:eastAsia="fr-FR"/>
        </w:rPr>
        <w:t xml:space="preserve"> est conféré à la Commission pour une période </w:t>
      </w:r>
      <w:r w:rsidRPr="003B458D">
        <w:rPr>
          <w:b/>
          <w:i/>
          <w:snapToGrid w:val="0"/>
          <w:szCs w:val="24"/>
          <w:lang w:eastAsia="fr-FR"/>
        </w:rPr>
        <w:t>de cinq ans</w:t>
      </w:r>
      <w:r w:rsidRPr="003B458D">
        <w:rPr>
          <w:snapToGrid w:val="0"/>
          <w:szCs w:val="24"/>
          <w:lang w:eastAsia="fr-FR"/>
        </w:rPr>
        <w:t xml:space="preserve"> à compter de la date d'entrée en vigueur du présent règlement.</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3.</w:t>
      </w:r>
      <w:r w:rsidRPr="003B458D">
        <w:rPr>
          <w:b/>
          <w:i/>
          <w:snapToGrid w:val="0"/>
          <w:szCs w:val="24"/>
          <w:lang w:eastAsia="fr-FR"/>
        </w:rPr>
        <w:tab/>
        <w:t>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br w:type="page"/>
        <w:t>4.</w:t>
      </w:r>
      <w:r w:rsidRPr="003B458D">
        <w:rPr>
          <w:snapToGrid w:val="0"/>
          <w:szCs w:val="24"/>
          <w:lang w:eastAsia="fr-FR"/>
        </w:rPr>
        <w:tab/>
        <w:t xml:space="preserve">La délégation de pouvoir visée </w:t>
      </w:r>
      <w:r w:rsidRPr="003B458D">
        <w:rPr>
          <w:b/>
          <w:i/>
          <w:snapToGrid w:val="0"/>
          <w:szCs w:val="24"/>
          <w:lang w:eastAsia="fr-FR"/>
        </w:rPr>
        <w:t>à l'article 22</w:t>
      </w:r>
      <w:r w:rsidRPr="003B458D">
        <w:rPr>
          <w:snapToGrid w:val="0"/>
          <w:szCs w:val="24"/>
          <w:lang w:eastAsia="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5.</w:t>
      </w:r>
      <w:r w:rsidRPr="003B458D">
        <w:rPr>
          <w:snapToGrid w:val="0"/>
          <w:szCs w:val="24"/>
          <w:lang w:eastAsia="fr-FR"/>
        </w:rPr>
        <w:tab/>
        <w:t>Aussitôt qu’elle adopte un acte délégué, la Commission le notifie au Parlement européen et au Conseil simultanément.</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6.</w:t>
      </w:r>
      <w:r w:rsidRPr="003B458D">
        <w:rPr>
          <w:snapToGrid w:val="0"/>
          <w:szCs w:val="24"/>
          <w:lang w:eastAsia="fr-FR"/>
        </w:rPr>
        <w:tab/>
        <w:t>Tout acte délégué adopté conformément au présent règlement n'entre en vigueur que si le Parlement européen ou le Conseil n'a pas fait connaître son opposition dans un délai de deux mois à compter de la notification dudit acte au Parlement européen et au Conseil ou si, avant l'expiration dudit délai, le Parlement européen et le Conseil ont tous deux informé la Commission qu'ils ne comptaient pas faire opposition. Ce délai peut être prolongé de deux mois à l'initiative du Parlement européen ou du Conseil.</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25</w:t>
      </w:r>
      <w:r w:rsidRPr="003B458D">
        <w:rPr>
          <w:snapToGrid w:val="0"/>
          <w:szCs w:val="24"/>
          <w:lang w:eastAsia="fr-FR"/>
        </w:rPr>
        <w:br/>
        <w:t>Comité</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1.</w:t>
      </w:r>
      <w:r w:rsidRPr="003B458D">
        <w:rPr>
          <w:snapToGrid w:val="0"/>
          <w:szCs w:val="24"/>
          <w:lang w:eastAsia="fr-FR"/>
        </w:rPr>
        <w:tab/>
        <w:t xml:space="preserve">La Commission est assistée par le comité de l'organisation commune des marchés agricoles institué par l'article </w:t>
      </w:r>
      <w:r w:rsidRPr="003B458D">
        <w:rPr>
          <w:b/>
          <w:i/>
          <w:snapToGrid w:val="0"/>
          <w:szCs w:val="24"/>
          <w:lang w:eastAsia="fr-FR"/>
        </w:rPr>
        <w:t>229</w:t>
      </w:r>
      <w:r w:rsidRPr="003B458D">
        <w:rPr>
          <w:snapToGrid w:val="0"/>
          <w:szCs w:val="24"/>
          <w:lang w:eastAsia="fr-FR"/>
        </w:rPr>
        <w:t xml:space="preserve"> du règlement (UE) </w:t>
      </w:r>
      <w:r w:rsidRPr="003B458D">
        <w:rPr>
          <w:b/>
          <w:i/>
          <w:snapToGrid w:val="0"/>
          <w:szCs w:val="24"/>
          <w:lang w:eastAsia="fr-FR"/>
        </w:rPr>
        <w:t>n° 1308/2013</w:t>
      </w:r>
      <w:r w:rsidRPr="003B458D">
        <w:rPr>
          <w:snapToGrid w:val="0"/>
          <w:szCs w:val="24"/>
          <w:lang w:eastAsia="fr-FR"/>
        </w:rPr>
        <w:t>.</w:t>
      </w:r>
    </w:p>
    <w:p w:rsidR="002022AB" w:rsidRPr="003B458D" w:rsidRDefault="002022AB" w:rsidP="00075179">
      <w:pPr>
        <w:spacing w:before="120" w:after="120" w:line="360" w:lineRule="auto"/>
        <w:ind w:left="851"/>
        <w:jc w:val="both"/>
        <w:rPr>
          <w:snapToGrid w:val="0"/>
          <w:szCs w:val="24"/>
          <w:lang w:eastAsia="fr-FR"/>
        </w:rPr>
      </w:pPr>
      <w:r w:rsidRPr="003B458D">
        <w:rPr>
          <w:snapToGrid w:val="0"/>
          <w:szCs w:val="24"/>
          <w:lang w:eastAsia="fr-FR"/>
        </w:rPr>
        <w:t xml:space="preserve">Ledit comité est un comité au sens du règlement (UE) n° 182/2011. </w:t>
      </w:r>
    </w:p>
    <w:p w:rsidR="002022AB" w:rsidRPr="003B458D" w:rsidRDefault="002022AB" w:rsidP="00075179">
      <w:pPr>
        <w:spacing w:before="120" w:after="120" w:line="360" w:lineRule="auto"/>
        <w:ind w:left="851" w:hanging="851"/>
        <w:jc w:val="both"/>
        <w:rPr>
          <w:snapToGrid w:val="0"/>
          <w:szCs w:val="24"/>
          <w:lang w:eastAsia="fr-FR"/>
        </w:rPr>
      </w:pPr>
      <w:r w:rsidRPr="003B458D">
        <w:rPr>
          <w:snapToGrid w:val="0"/>
          <w:szCs w:val="24"/>
          <w:lang w:eastAsia="fr-FR"/>
        </w:rPr>
        <w:t>2.</w:t>
      </w:r>
      <w:r w:rsidRPr="003B458D">
        <w:rPr>
          <w:snapToGrid w:val="0"/>
          <w:szCs w:val="24"/>
          <w:lang w:eastAsia="fr-FR"/>
        </w:rPr>
        <w:tab/>
        <w:t>Lorsqu'il est fait référence au présent paragraphe, l'article 5 du règlement (UE) n° 182/2011 s'applique.</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SECTION 2</w:t>
      </w:r>
      <w:r w:rsidRPr="003B458D">
        <w:rPr>
          <w:snapToGrid w:val="0"/>
          <w:szCs w:val="24"/>
          <w:lang w:eastAsia="fr-FR"/>
        </w:rPr>
        <w:br/>
        <w:t>CONSULTATION, ÉVALUATION ET RAPPORT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26</w:t>
      </w:r>
      <w:r w:rsidRPr="003B458D">
        <w:rPr>
          <w:snapToGrid w:val="0"/>
          <w:szCs w:val="24"/>
          <w:lang w:eastAsia="fr-FR"/>
        </w:rPr>
        <w:br/>
        <w:t>Consultation</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Dans le cadre de la mise en œuvre du présent règlement, la Commission peut consulter le groupe consultatif "promotion des produits agricoles" institué par la décision 2004/391/CE de la Commission.</w:t>
      </w:r>
    </w:p>
    <w:p w:rsidR="002022AB" w:rsidRPr="003B458D" w:rsidRDefault="002022AB" w:rsidP="00075179">
      <w:pPr>
        <w:spacing w:before="120" w:after="120" w:line="360" w:lineRule="auto"/>
        <w:jc w:val="center"/>
        <w:rPr>
          <w:snapToGrid w:val="0"/>
          <w:szCs w:val="24"/>
          <w:lang w:eastAsia="fr-FR"/>
        </w:rPr>
      </w:pPr>
      <w:r>
        <w:rPr>
          <w:snapToGrid w:val="0"/>
          <w:szCs w:val="24"/>
          <w:lang w:eastAsia="fr-FR"/>
        </w:rPr>
        <w:br w:type="page"/>
      </w:r>
      <w:r w:rsidRPr="003B458D">
        <w:rPr>
          <w:snapToGrid w:val="0"/>
          <w:szCs w:val="24"/>
          <w:lang w:eastAsia="fr-FR"/>
        </w:rPr>
        <w:t>Article 27</w:t>
      </w:r>
      <w:r w:rsidRPr="003B458D">
        <w:rPr>
          <w:snapToGrid w:val="0"/>
          <w:szCs w:val="24"/>
          <w:lang w:eastAsia="fr-FR"/>
        </w:rPr>
        <w:br/>
        <w:t>Évaluation d'impact des actions</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En cohérence avec le cadre commun de suivi et d'évaluation de la politique agricole commune prévu à l'article 110 du règlement (UE) </w:t>
      </w:r>
      <w:r w:rsidRPr="003B458D">
        <w:rPr>
          <w:b/>
          <w:i/>
          <w:snapToGrid w:val="0"/>
          <w:szCs w:val="24"/>
          <w:lang w:eastAsia="fr-FR"/>
        </w:rPr>
        <w:t>n°1306/2013</w:t>
      </w:r>
      <w:r w:rsidRPr="003B458D">
        <w:rPr>
          <w:snapToGrid w:val="0"/>
          <w:szCs w:val="24"/>
          <w:lang w:eastAsia="fr-FR"/>
        </w:rPr>
        <w:t xml:space="preserve"> </w:t>
      </w:r>
      <w:r w:rsidRPr="003B458D">
        <w:rPr>
          <w:b/>
          <w:i/>
          <w:snapToGrid w:val="0"/>
          <w:szCs w:val="24"/>
          <w:lang w:eastAsia="fr-FR"/>
        </w:rPr>
        <w:t>du Parlement européen et du Conseil</w:t>
      </w:r>
      <w:r w:rsidRPr="003B458D">
        <w:rPr>
          <w:snapToGrid w:val="0"/>
          <w:szCs w:val="24"/>
          <w:lang w:eastAsia="fr-FR"/>
        </w:rPr>
        <w:t xml:space="preserve">, la Commission </w:t>
      </w:r>
      <w:r w:rsidRPr="003B458D">
        <w:rPr>
          <w:b/>
          <w:i/>
          <w:snapToGrid w:val="0"/>
          <w:szCs w:val="24"/>
          <w:lang w:eastAsia="fr-FR"/>
        </w:rPr>
        <w:t>adopte</w:t>
      </w:r>
      <w:r w:rsidRPr="003B458D">
        <w:rPr>
          <w:snapToGrid w:val="0"/>
          <w:szCs w:val="24"/>
          <w:lang w:eastAsia="fr-FR"/>
        </w:rPr>
        <w:t xml:space="preserve">, </w:t>
      </w:r>
      <w:r w:rsidRPr="003B458D">
        <w:rPr>
          <w:b/>
          <w:i/>
          <w:snapToGrid w:val="0"/>
          <w:szCs w:val="24"/>
          <w:lang w:eastAsia="fr-FR"/>
        </w:rPr>
        <w:t>par voie d'actes d'exécution</w:t>
      </w:r>
      <w:r w:rsidRPr="003B458D">
        <w:rPr>
          <w:snapToGrid w:val="0"/>
          <w:szCs w:val="24"/>
          <w:lang w:eastAsia="fr-FR"/>
        </w:rPr>
        <w:t xml:space="preserve">, le cadre commun pour l'évaluation d'impact des programmes d'information et de promotion financés au titre du présent règlement, ainsi qu'un système d'indicateurs. </w:t>
      </w:r>
      <w:r w:rsidRPr="003B458D">
        <w:rPr>
          <w:b/>
          <w:i/>
          <w:snapToGrid w:val="0"/>
          <w:szCs w:val="24"/>
          <w:lang w:eastAsia="fr-FR"/>
        </w:rPr>
        <w:t>Ces actes d'exécution sont adoptés conformément à la procédure d'examen visée à l’article 25, paragraphe 2.</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Toutes les parties concernées communiquent à la Commission toutes les données et informations nécessaires pour permettre l'évaluation d'impact des actions.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28</w:t>
      </w:r>
      <w:r w:rsidRPr="003B458D">
        <w:rPr>
          <w:snapToGrid w:val="0"/>
          <w:szCs w:val="24"/>
          <w:lang w:eastAsia="fr-FR"/>
        </w:rPr>
        <w:br/>
        <w:t>Rapport</w:t>
      </w:r>
    </w:p>
    <w:p w:rsidR="002022AB" w:rsidRPr="003B458D" w:rsidRDefault="002022AB" w:rsidP="00075179">
      <w:pPr>
        <w:spacing w:before="120" w:after="120" w:line="360" w:lineRule="auto"/>
        <w:ind w:left="851" w:hanging="851"/>
        <w:jc w:val="both"/>
        <w:rPr>
          <w:b/>
          <w:i/>
          <w:snapToGrid w:val="0"/>
          <w:szCs w:val="24"/>
          <w:lang w:eastAsia="fr-FR"/>
        </w:rPr>
      </w:pPr>
      <w:r w:rsidRPr="003B458D">
        <w:rPr>
          <w:b/>
          <w:i/>
          <w:snapToGrid w:val="0"/>
          <w:szCs w:val="24"/>
          <w:lang w:eastAsia="fr-FR"/>
        </w:rPr>
        <w:t>1.</w:t>
      </w:r>
      <w:r w:rsidRPr="003B458D">
        <w:rPr>
          <w:b/>
          <w:i/>
          <w:snapToGrid w:val="0"/>
          <w:szCs w:val="24"/>
          <w:lang w:eastAsia="fr-FR"/>
        </w:rPr>
        <w:tab/>
        <w:t xml:space="preserve">Au plus tard le 31 décembre 2018, la Commission présente au Parlement européen et au Conseil un rapport intermédiaire sur l'application du présent règlement, comprenant le taux de mise en œuvre dans différents États membres, accompagné, le cas échéant, de propositions appropriées. </w:t>
      </w:r>
    </w:p>
    <w:p w:rsidR="002022AB" w:rsidRPr="003B458D" w:rsidRDefault="002022AB" w:rsidP="00075179">
      <w:pPr>
        <w:spacing w:before="120" w:after="120" w:line="360" w:lineRule="auto"/>
        <w:ind w:left="851" w:hanging="851"/>
        <w:jc w:val="both"/>
        <w:rPr>
          <w:snapToGrid w:val="0"/>
          <w:szCs w:val="24"/>
          <w:lang w:eastAsia="fr-FR"/>
        </w:rPr>
      </w:pPr>
      <w:r>
        <w:rPr>
          <w:snapToGrid w:val="0"/>
          <w:szCs w:val="24"/>
          <w:lang w:eastAsia="fr-FR"/>
        </w:rPr>
        <w:br w:type="page"/>
      </w:r>
      <w:r w:rsidRPr="003B458D">
        <w:rPr>
          <w:snapToGrid w:val="0"/>
          <w:szCs w:val="24"/>
          <w:lang w:eastAsia="fr-FR"/>
        </w:rPr>
        <w:t>2.</w:t>
      </w:r>
      <w:r w:rsidRPr="003B458D">
        <w:rPr>
          <w:snapToGrid w:val="0"/>
          <w:szCs w:val="24"/>
          <w:lang w:eastAsia="fr-FR"/>
        </w:rPr>
        <w:tab/>
        <w:t>Au plus tard le 31 décembre [2020] la Commission présente au Parlement européen et au Conseil un rapport sur l’application du présent règlement, accompagné, le cas échéant, de propositions appropriées.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SECTION 3</w:t>
      </w:r>
      <w:r w:rsidRPr="003B458D">
        <w:rPr>
          <w:snapToGrid w:val="0"/>
          <w:szCs w:val="24"/>
          <w:lang w:eastAsia="fr-FR"/>
        </w:rPr>
        <w:br/>
        <w:t>DISPOSITIONS MODIFICATIVES, TRANSITOIRES ET FINALES</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Article 29</w:t>
      </w:r>
      <w:r w:rsidRPr="003B458D">
        <w:rPr>
          <w:snapToGrid w:val="0"/>
          <w:szCs w:val="24"/>
          <w:lang w:eastAsia="fr-FR"/>
        </w:rPr>
        <w:br/>
        <w:t>Aides d'état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Par dérogation à l'article </w:t>
      </w:r>
      <w:r w:rsidRPr="003B458D">
        <w:rPr>
          <w:b/>
          <w:i/>
          <w:snapToGrid w:val="0"/>
          <w:szCs w:val="24"/>
          <w:lang w:eastAsia="fr-FR"/>
        </w:rPr>
        <w:t>211, paragraphe 1,</w:t>
      </w:r>
      <w:r w:rsidRPr="003B458D">
        <w:rPr>
          <w:snapToGrid w:val="0"/>
          <w:szCs w:val="24"/>
          <w:lang w:eastAsia="fr-FR"/>
        </w:rPr>
        <w:t xml:space="preserve"> du règlement (UE) n° 1308/2013 du Parlement européen et du Conseil et à l'article 3 du règlement (CE) nº 1184/2006 du Conseil</w:t>
      </w:r>
      <w:r w:rsidRPr="003B458D">
        <w:rPr>
          <w:snapToGrid w:val="0"/>
          <w:szCs w:val="24"/>
          <w:vertAlign w:val="superscript"/>
          <w:lang w:eastAsia="fr-FR"/>
        </w:rPr>
        <w:footnoteReference w:id="10"/>
      </w:r>
      <w:r w:rsidRPr="003B458D">
        <w:rPr>
          <w:snapToGrid w:val="0"/>
          <w:szCs w:val="24"/>
          <w:lang w:eastAsia="fr-FR"/>
        </w:rPr>
        <w:t>, ainsi qu'en vertu de l'article 42, premier alinéa du traité, les articles 107, 108 et 109 du traité ne s’appliquent pas aux paiements effectués par les États membres, en application du présent règlement et en conformité avec ses dispositions, ni aux participations financières provenant de recettes parafiscales</w:t>
      </w:r>
      <w:r w:rsidRPr="003B458D">
        <w:rPr>
          <w:b/>
          <w:i/>
          <w:snapToGrid w:val="0"/>
          <w:szCs w:val="24"/>
          <w:lang w:eastAsia="fr-FR"/>
        </w:rPr>
        <w:t>,</w:t>
      </w:r>
      <w:r w:rsidRPr="003B458D">
        <w:rPr>
          <w:snapToGrid w:val="0"/>
          <w:szCs w:val="24"/>
          <w:lang w:eastAsia="fr-FR"/>
        </w:rPr>
        <w:t xml:space="preserve"> de contributions obligatoires </w:t>
      </w:r>
      <w:r w:rsidRPr="003B458D">
        <w:rPr>
          <w:b/>
          <w:i/>
          <w:snapToGrid w:val="0"/>
          <w:szCs w:val="24"/>
          <w:lang w:eastAsia="fr-FR"/>
        </w:rPr>
        <w:t xml:space="preserve">ou d'autres instruments financiers </w:t>
      </w:r>
      <w:r w:rsidRPr="003B458D">
        <w:rPr>
          <w:snapToGrid w:val="0"/>
          <w:szCs w:val="24"/>
          <w:lang w:eastAsia="fr-FR"/>
        </w:rPr>
        <w:t xml:space="preserve">des États membres, dans le cas des programmes pouvant bénéficier d’un soutien de l’Union ▌que la Commission a sélectionnés conformément au présent règlement. </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30</w:t>
      </w:r>
      <w:r w:rsidRPr="003B458D">
        <w:rPr>
          <w:snapToGrid w:val="0"/>
          <w:szCs w:val="24"/>
          <w:lang w:eastAsia="fr-FR"/>
        </w:rPr>
        <w:br/>
        <w:t>Abrogation</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Le règlement (CE) n° 3/2008 est abrogé.</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Les références faites au règlement abrogé s’entendent comme faites au présent règlement et sont à lire selon les tableaux de correspondance figurant en annexe du présent règlement.</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t xml:space="preserve">Article 31 </w:t>
      </w:r>
      <w:r w:rsidRPr="003B458D">
        <w:rPr>
          <w:snapToGrid w:val="0"/>
          <w:szCs w:val="24"/>
          <w:lang w:eastAsia="fr-FR"/>
        </w:rPr>
        <w:br/>
        <w:t>Dispositions transitoires</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Le règlement (CE) n° 3/2008 continue de s'appliquer aux mesures d'information et de promotion dont le financement a été décidé par la Commission avant la date d'application du présent règlement.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La Commission est habilitée à adopter des actes délégués conformément à l'article </w:t>
      </w:r>
      <w:r>
        <w:rPr>
          <w:snapToGrid w:val="0"/>
          <w:szCs w:val="24"/>
          <w:lang w:eastAsia="fr-FR"/>
        </w:rPr>
        <w:t>24</w:t>
      </w:r>
      <w:r w:rsidRPr="003B458D">
        <w:rPr>
          <w:snapToGrid w:val="0"/>
          <w:szCs w:val="24"/>
          <w:lang w:eastAsia="fr-FR"/>
        </w:rPr>
        <w:t xml:space="preserve"> pour assurer la transition entre les dispositions du règlement (CE) n° 3/2008 et celles du présent règlement. </w:t>
      </w:r>
    </w:p>
    <w:p w:rsidR="002022AB" w:rsidRPr="003B458D" w:rsidRDefault="002022AB" w:rsidP="00075179">
      <w:pPr>
        <w:spacing w:before="120" w:after="120" w:line="360" w:lineRule="auto"/>
        <w:jc w:val="center"/>
        <w:rPr>
          <w:snapToGrid w:val="0"/>
          <w:szCs w:val="24"/>
          <w:lang w:eastAsia="fr-FR"/>
        </w:rPr>
      </w:pPr>
      <w:r w:rsidRPr="003B458D">
        <w:rPr>
          <w:snapToGrid w:val="0"/>
          <w:szCs w:val="24"/>
          <w:lang w:eastAsia="fr-FR"/>
        </w:rPr>
        <w:br w:type="page"/>
        <w:t>Article 32</w:t>
      </w:r>
      <w:r w:rsidRPr="003B458D">
        <w:rPr>
          <w:snapToGrid w:val="0"/>
          <w:szCs w:val="24"/>
          <w:lang w:eastAsia="fr-FR"/>
        </w:rPr>
        <w:br/>
        <w:t>Entrée en vigueur et date d'application</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Le présent règlement entre en vigueur le vingtième jour suivant celui de sa publication au Journal officiel de l'Union européenne.</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Il s'applique à compter du </w:t>
      </w:r>
      <w:r w:rsidRPr="003B458D">
        <w:rPr>
          <w:b/>
          <w:i/>
          <w:snapToGrid w:val="0"/>
          <w:szCs w:val="24"/>
          <w:lang w:eastAsia="fr-FR"/>
        </w:rPr>
        <w:t>1</w:t>
      </w:r>
      <w:r w:rsidRPr="003B458D">
        <w:rPr>
          <w:b/>
          <w:i/>
          <w:snapToGrid w:val="0"/>
          <w:szCs w:val="24"/>
          <w:vertAlign w:val="superscript"/>
          <w:lang w:eastAsia="fr-FR"/>
        </w:rPr>
        <w:t>er</w:t>
      </w:r>
      <w:r w:rsidRPr="003B458D">
        <w:rPr>
          <w:b/>
          <w:i/>
          <w:snapToGrid w:val="0"/>
          <w:szCs w:val="24"/>
          <w:lang w:eastAsia="fr-FR"/>
        </w:rPr>
        <w:t> décembre 2015</w:t>
      </w:r>
      <w:r w:rsidRPr="003B458D">
        <w:rPr>
          <w:snapToGrid w:val="0"/>
          <w:szCs w:val="24"/>
          <w:lang w:eastAsia="fr-FR"/>
        </w:rPr>
        <w: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Le présent règlement est obligatoire dans tous ses éléments et directement applicable dans tout État membre.</w:t>
      </w:r>
    </w:p>
    <w:p w:rsidR="002022AB" w:rsidRPr="003B458D" w:rsidRDefault="002022AB" w:rsidP="00075179">
      <w:pPr>
        <w:spacing w:before="120" w:line="360" w:lineRule="auto"/>
        <w:jc w:val="both"/>
        <w:rPr>
          <w:snapToGrid w:val="0"/>
          <w:szCs w:val="24"/>
          <w:lang w:eastAsia="fr-FR"/>
        </w:rPr>
      </w:pPr>
      <w:r w:rsidRPr="003B458D">
        <w:rPr>
          <w:snapToGrid w:val="0"/>
          <w:szCs w:val="24"/>
          <w:lang w:eastAsia="fr-FR"/>
        </w:rPr>
        <w:t xml:space="preserve">Fait à </w:t>
      </w:r>
    </w:p>
    <w:p w:rsidR="002022AB" w:rsidRPr="003B458D" w:rsidRDefault="002022AB" w:rsidP="00075179">
      <w:pPr>
        <w:spacing w:before="720" w:line="360" w:lineRule="auto"/>
        <w:jc w:val="both"/>
        <w:rPr>
          <w:i/>
          <w:snapToGrid w:val="0"/>
          <w:szCs w:val="24"/>
          <w:lang w:eastAsia="fr-FR"/>
        </w:rPr>
      </w:pPr>
      <w:r w:rsidRPr="003B458D">
        <w:rPr>
          <w:i/>
          <w:snapToGrid w:val="0"/>
          <w:szCs w:val="24"/>
          <w:lang w:eastAsia="fr-FR"/>
        </w:rPr>
        <w:t>Par le Parlement européen</w:t>
      </w:r>
      <w:r w:rsidRPr="003B458D">
        <w:rPr>
          <w:i/>
          <w:snapToGrid w:val="0"/>
          <w:szCs w:val="24"/>
          <w:lang w:eastAsia="fr-FR"/>
        </w:rPr>
        <w:tab/>
      </w:r>
      <w:r w:rsidRPr="003B458D">
        <w:rPr>
          <w:i/>
          <w:snapToGrid w:val="0"/>
          <w:szCs w:val="24"/>
          <w:lang w:eastAsia="fr-FR"/>
        </w:rPr>
        <w:tab/>
      </w:r>
      <w:r w:rsidRPr="003B458D">
        <w:rPr>
          <w:i/>
          <w:snapToGrid w:val="0"/>
          <w:szCs w:val="24"/>
          <w:lang w:eastAsia="fr-FR"/>
        </w:rPr>
        <w:tab/>
      </w:r>
      <w:r w:rsidRPr="003B458D">
        <w:rPr>
          <w:i/>
          <w:snapToGrid w:val="0"/>
          <w:szCs w:val="24"/>
          <w:lang w:eastAsia="fr-FR"/>
        </w:rPr>
        <w:tab/>
        <w:t>Par le Conseil</w:t>
      </w:r>
    </w:p>
    <w:p w:rsidR="002022AB" w:rsidRPr="003B458D" w:rsidRDefault="002022AB" w:rsidP="00075179">
      <w:pPr>
        <w:spacing w:line="360" w:lineRule="auto"/>
        <w:jc w:val="both"/>
        <w:rPr>
          <w:i/>
          <w:snapToGrid w:val="0"/>
          <w:szCs w:val="24"/>
          <w:lang w:eastAsia="fr-FR"/>
        </w:rPr>
      </w:pPr>
      <w:r w:rsidRPr="003B458D">
        <w:rPr>
          <w:i/>
          <w:snapToGrid w:val="0"/>
          <w:szCs w:val="24"/>
          <w:lang w:eastAsia="fr-FR"/>
        </w:rPr>
        <w:t>Le président</w:t>
      </w:r>
      <w:r w:rsidRPr="003B458D">
        <w:rPr>
          <w:i/>
          <w:snapToGrid w:val="0"/>
          <w:szCs w:val="24"/>
          <w:lang w:eastAsia="fr-FR"/>
        </w:rPr>
        <w:tab/>
      </w:r>
      <w:r w:rsidRPr="003B458D">
        <w:rPr>
          <w:i/>
          <w:snapToGrid w:val="0"/>
          <w:szCs w:val="24"/>
          <w:lang w:eastAsia="fr-FR"/>
        </w:rPr>
        <w:tab/>
      </w:r>
      <w:r w:rsidRPr="003B458D">
        <w:rPr>
          <w:i/>
          <w:snapToGrid w:val="0"/>
          <w:szCs w:val="24"/>
          <w:lang w:eastAsia="fr-FR"/>
        </w:rPr>
        <w:tab/>
      </w:r>
      <w:r w:rsidRPr="003B458D">
        <w:rPr>
          <w:i/>
          <w:snapToGrid w:val="0"/>
          <w:szCs w:val="24"/>
          <w:lang w:eastAsia="fr-FR"/>
        </w:rPr>
        <w:tab/>
      </w:r>
      <w:r w:rsidRPr="003B458D">
        <w:rPr>
          <w:i/>
          <w:snapToGrid w:val="0"/>
          <w:szCs w:val="24"/>
          <w:lang w:eastAsia="fr-FR"/>
        </w:rPr>
        <w:tab/>
      </w:r>
      <w:r w:rsidRPr="003B458D">
        <w:rPr>
          <w:i/>
          <w:snapToGrid w:val="0"/>
          <w:szCs w:val="24"/>
          <w:lang w:eastAsia="fr-FR"/>
        </w:rPr>
        <w:tab/>
        <w:t>Le président</w:t>
      </w:r>
    </w:p>
    <w:p w:rsidR="002022AB" w:rsidRPr="003B458D" w:rsidRDefault="002022AB" w:rsidP="00075179">
      <w:pPr>
        <w:spacing w:before="120" w:after="120" w:line="360" w:lineRule="auto"/>
        <w:jc w:val="both"/>
        <w:rPr>
          <w:snapToGrid w:val="0"/>
          <w:szCs w:val="24"/>
          <w:lang w:eastAsia="fr-FR"/>
        </w:rPr>
      </w:pPr>
      <w:r w:rsidRPr="003B458D">
        <w:rPr>
          <w:snapToGrid w:val="0"/>
          <w:szCs w:val="24"/>
          <w:lang w:eastAsia="fr-FR"/>
        </w:rPr>
        <w:t xml:space="preserve"> </w:t>
      </w:r>
    </w:p>
    <w:p w:rsidR="002022AB" w:rsidRPr="003B458D" w:rsidRDefault="002022AB" w:rsidP="00075179">
      <w:pPr>
        <w:spacing w:before="120" w:after="120" w:line="360" w:lineRule="auto"/>
        <w:jc w:val="center"/>
        <w:rPr>
          <w:b/>
          <w:i/>
          <w:snapToGrid w:val="0"/>
          <w:szCs w:val="24"/>
          <w:lang w:eastAsia="fr-FR"/>
        </w:rPr>
      </w:pPr>
      <w:r w:rsidRPr="003B458D">
        <w:rPr>
          <w:snapToGrid w:val="0"/>
          <w:szCs w:val="24"/>
          <w:lang w:eastAsia="fr-FR"/>
        </w:rPr>
        <w:br w:type="page"/>
      </w:r>
      <w:r w:rsidRPr="003B458D">
        <w:rPr>
          <w:b/>
          <w:i/>
          <w:snapToGrid w:val="0"/>
          <w:szCs w:val="24"/>
          <w:lang w:eastAsia="fr-FR"/>
        </w:rPr>
        <w:t>ANNEXE I</w:t>
      </w:r>
    </w:p>
    <w:p w:rsidR="002022AB" w:rsidRPr="003B458D" w:rsidRDefault="002022AB" w:rsidP="00075179">
      <w:pPr>
        <w:spacing w:before="120" w:after="120" w:line="360" w:lineRule="auto"/>
        <w:jc w:val="both"/>
        <w:rPr>
          <w:snapToGrid w:val="0"/>
          <w:szCs w:val="24"/>
          <w:lang w:eastAsia="fr-FR"/>
        </w:rPr>
      </w:pP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PRODUITS VISÉS À L'ARTICLE 5, PARAGRAPHE 1, POINT B)</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bière,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chocolat et produits dérivés,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produits de la boulangerie, pâtisserie, confiserie, biscuiterie,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boissons à base d’extraits de plantes,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pâtes alimentaires,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sel,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gommes et résines naturelles,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pâte de moutarde, </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maïs doux,</w:t>
      </w:r>
    </w:p>
    <w:p w:rsidR="002022AB" w:rsidRPr="003B458D" w:rsidRDefault="002022AB" w:rsidP="00075179">
      <w:pPr>
        <w:spacing w:before="120" w:after="120" w:line="360" w:lineRule="auto"/>
        <w:jc w:val="both"/>
        <w:rPr>
          <w:b/>
          <w:i/>
          <w:snapToGrid w:val="0"/>
          <w:szCs w:val="24"/>
          <w:lang w:eastAsia="fr-FR"/>
        </w:rPr>
      </w:pPr>
      <w:r w:rsidRPr="003B458D">
        <w:rPr>
          <w:b/>
          <w:i/>
          <w:snapToGrid w:val="0"/>
          <w:szCs w:val="24"/>
          <w:lang w:eastAsia="fr-FR"/>
        </w:rPr>
        <w:t>•</w:t>
      </w:r>
      <w:r w:rsidRPr="003B458D">
        <w:rPr>
          <w:b/>
          <w:i/>
          <w:snapToGrid w:val="0"/>
          <w:szCs w:val="24"/>
          <w:lang w:eastAsia="fr-FR"/>
        </w:rPr>
        <w:tab/>
        <w:t xml:space="preserve">coton. </w:t>
      </w:r>
    </w:p>
    <w:p w:rsidR="002022AB" w:rsidRPr="003B458D" w:rsidRDefault="002022AB" w:rsidP="00075179">
      <w:pPr>
        <w:jc w:val="center"/>
        <w:rPr>
          <w:b/>
          <w:i/>
          <w:snapToGrid w:val="0"/>
          <w:szCs w:val="24"/>
          <w:lang w:eastAsia="fr-FR"/>
        </w:rPr>
      </w:pPr>
      <w:r w:rsidRPr="003B458D">
        <w:rPr>
          <w:b/>
          <w:i/>
          <w:snapToGrid w:val="0"/>
          <w:szCs w:val="24"/>
          <w:lang w:eastAsia="fr-FR"/>
        </w:rPr>
        <w:br w:type="page"/>
        <w:t>ANNEXE II</w:t>
      </w:r>
      <w:r w:rsidRPr="003B458D">
        <w:rPr>
          <w:b/>
          <w:i/>
          <w:snapToGrid w:val="0"/>
          <w:szCs w:val="24"/>
          <w:vertAlign w:val="superscript"/>
          <w:lang w:eastAsia="fr-FR"/>
        </w:rPr>
        <w:footnoteReference w:id="11"/>
      </w:r>
    </w:p>
    <w:p w:rsidR="002022AB" w:rsidRPr="003B458D" w:rsidRDefault="002022AB" w:rsidP="00075179">
      <w:pPr>
        <w:spacing w:before="60" w:after="180" w:line="360" w:lineRule="auto"/>
        <w:jc w:val="center"/>
        <w:rPr>
          <w:b/>
          <w:i/>
          <w:snapToGrid w:val="0"/>
          <w:szCs w:val="24"/>
          <w:lang w:eastAsia="fr-FR"/>
        </w:rPr>
      </w:pPr>
      <w:r w:rsidRPr="003B458D">
        <w:rPr>
          <w:b/>
          <w:i/>
          <w:snapToGrid w:val="0"/>
          <w:szCs w:val="24"/>
          <w:lang w:eastAsia="fr-FR"/>
        </w:rPr>
        <w:t>TABLEAU DE CORRESPONDANCE visé à l'article 30</w:t>
      </w:r>
    </w:p>
    <w:tbl>
      <w:tblPr>
        <w:tblW w:w="9290"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5"/>
        <w:gridCol w:w="4645"/>
      </w:tblGrid>
      <w:tr w:rsidR="002022AB" w:rsidRPr="003B458D" w:rsidTr="00075179">
        <w:trPr>
          <w:trHeight w:val="20"/>
          <w:jc w:val="center"/>
        </w:trPr>
        <w:tc>
          <w:tcPr>
            <w:tcW w:w="4645" w:type="dxa"/>
            <w:vAlign w:val="center"/>
          </w:tcPr>
          <w:p w:rsidR="002022AB" w:rsidRPr="003B458D" w:rsidRDefault="002022AB" w:rsidP="00075179">
            <w:pPr>
              <w:keepNext/>
              <w:jc w:val="center"/>
              <w:rPr>
                <w:b/>
                <w:snapToGrid w:val="0"/>
                <w:sz w:val="16"/>
                <w:szCs w:val="24"/>
                <w:lang w:eastAsia="fr-FR"/>
              </w:rPr>
            </w:pPr>
            <w:r w:rsidRPr="003B458D">
              <w:rPr>
                <w:b/>
                <w:snapToGrid w:val="0"/>
                <w:sz w:val="16"/>
                <w:szCs w:val="24"/>
                <w:lang w:eastAsia="fr-FR"/>
              </w:rPr>
              <w:t>Règlement (CE) n° 3/2008</w:t>
            </w:r>
          </w:p>
        </w:tc>
        <w:tc>
          <w:tcPr>
            <w:tcW w:w="4645" w:type="dxa"/>
            <w:vAlign w:val="center"/>
          </w:tcPr>
          <w:p w:rsidR="002022AB" w:rsidRPr="003B458D" w:rsidRDefault="002022AB" w:rsidP="00075179">
            <w:pPr>
              <w:keepNext/>
              <w:jc w:val="center"/>
              <w:rPr>
                <w:b/>
                <w:snapToGrid w:val="0"/>
                <w:sz w:val="16"/>
                <w:szCs w:val="24"/>
                <w:lang w:eastAsia="fr-FR"/>
              </w:rPr>
            </w:pPr>
            <w:r w:rsidRPr="003B458D">
              <w:rPr>
                <w:b/>
                <w:snapToGrid w:val="0"/>
                <w:sz w:val="16"/>
                <w:szCs w:val="24"/>
                <w:lang w:eastAsia="fr-FR"/>
              </w:rPr>
              <w:t>Présent règlement</w:t>
            </w:r>
          </w:p>
        </w:tc>
      </w:tr>
      <w:tr w:rsidR="002022AB" w:rsidRPr="003B458D" w:rsidTr="00075179">
        <w:trPr>
          <w:trHeight w:val="219"/>
          <w:jc w:val="center"/>
        </w:trPr>
        <w:tc>
          <w:tcPr>
            <w:tcW w:w="4645" w:type="dxa"/>
          </w:tcPr>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1, premier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1, deuxième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3 et 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6,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6,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 xml:space="preserve">Article 8 </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9</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10</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12,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12,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2, premier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2, deuxième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2, troisième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paragraphes 3, 4 et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6</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15 et 16</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18</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19</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20</w:t>
            </w:r>
          </w:p>
        </w:tc>
        <w:tc>
          <w:tcPr>
            <w:tcW w:w="4645" w:type="dxa"/>
          </w:tcPr>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4, paragraphe 3, point 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4, paragraphes 1 et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2 et 3</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8,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12 et 17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10</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16, paragraphe 1, point b)</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15, paragraphe 1</w:t>
            </w:r>
          </w:p>
          <w:p w:rsidR="002022AB" w:rsidRPr="003B458D" w:rsidRDefault="002022AB" w:rsidP="00075179">
            <w:pPr>
              <w:spacing w:before="80" w:after="60"/>
              <w:jc w:val="both"/>
              <w:rPr>
                <w:snapToGrid w:val="0"/>
                <w:szCs w:val="24"/>
                <w:lang w:eastAsia="fr-FR"/>
              </w:rPr>
            </w:pPr>
            <w:r w:rsidRPr="003B458D">
              <w:rPr>
                <w:snapToGrid w:val="0"/>
                <w:sz w:val="16"/>
                <w:szCs w:val="24"/>
                <w:lang w:eastAsia="fr-FR"/>
              </w:rPr>
              <w:t xml:space="preserve">Article 15, paragraphe 2 </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29</w:t>
            </w:r>
          </w:p>
          <w:p w:rsidR="002022AB" w:rsidRPr="003B458D" w:rsidRDefault="002022AB" w:rsidP="00075179">
            <w:pPr>
              <w:spacing w:before="80" w:after="60"/>
              <w:jc w:val="both"/>
              <w:rPr>
                <w:snapToGrid w:val="0"/>
                <w:szCs w:val="24"/>
                <w:lang w:eastAsia="fr-FR"/>
              </w:rPr>
            </w:pPr>
            <w:r w:rsidRPr="003B458D">
              <w:rPr>
                <w:snapToGrid w:val="0"/>
                <w:sz w:val="16"/>
                <w:szCs w:val="24"/>
                <w:lang w:eastAsia="fr-FR"/>
              </w:rPr>
              <w:t xml:space="preserve">Article 15, paragraphe 6, et article 16, paragraphe 2 </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23 et 24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30</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32</w:t>
            </w:r>
          </w:p>
        </w:tc>
      </w:tr>
    </w:tbl>
    <w:p w:rsidR="002022AB" w:rsidRPr="003B458D" w:rsidRDefault="002022AB" w:rsidP="00075179">
      <w:pPr>
        <w:spacing w:before="60" w:after="180"/>
        <w:jc w:val="center"/>
        <w:rPr>
          <w:b/>
          <w:snapToGrid w:val="0"/>
          <w:szCs w:val="24"/>
          <w:u w:val="single"/>
          <w:lang w:eastAsia="fr-FR"/>
        </w:rPr>
      </w:pPr>
    </w:p>
    <w:p w:rsidR="002022AB" w:rsidRPr="003B458D" w:rsidRDefault="002022AB" w:rsidP="00075179">
      <w:pPr>
        <w:spacing w:before="60" w:after="180"/>
        <w:jc w:val="center"/>
        <w:rPr>
          <w:b/>
          <w:snapToGrid w:val="0"/>
          <w:szCs w:val="24"/>
          <w:u w:val="single"/>
          <w:lang w:eastAsia="fr-FR"/>
        </w:rPr>
      </w:pPr>
      <w:r w:rsidRPr="003B458D">
        <w:rPr>
          <w:b/>
          <w:snapToGrid w:val="0"/>
          <w:szCs w:val="24"/>
          <w:u w:val="single"/>
          <w:lang w:eastAsia="fr-FR"/>
        </w:rPr>
        <w:br w:type="page"/>
      </w:r>
    </w:p>
    <w:tbl>
      <w:tblPr>
        <w:tblW w:w="9302" w:type="dxa"/>
        <w:jc w:val="center"/>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1"/>
        <w:gridCol w:w="4651"/>
      </w:tblGrid>
      <w:tr w:rsidR="002022AB" w:rsidRPr="003B458D" w:rsidTr="00075179">
        <w:trPr>
          <w:trHeight w:val="20"/>
          <w:jc w:val="center"/>
        </w:trPr>
        <w:tc>
          <w:tcPr>
            <w:tcW w:w="4651" w:type="dxa"/>
            <w:vAlign w:val="center"/>
          </w:tcPr>
          <w:p w:rsidR="002022AB" w:rsidRPr="003B458D" w:rsidRDefault="002022AB" w:rsidP="00075179">
            <w:pPr>
              <w:keepNext/>
              <w:jc w:val="center"/>
              <w:rPr>
                <w:b/>
                <w:snapToGrid w:val="0"/>
                <w:sz w:val="16"/>
                <w:szCs w:val="24"/>
                <w:lang w:eastAsia="fr-FR"/>
              </w:rPr>
            </w:pPr>
            <w:r w:rsidRPr="003B458D">
              <w:rPr>
                <w:b/>
                <w:snapToGrid w:val="0"/>
                <w:sz w:val="16"/>
                <w:szCs w:val="24"/>
                <w:lang w:eastAsia="fr-FR"/>
              </w:rPr>
              <w:t>Règlement (CE) n° 3/2008 aligné aux dispositions du traité de Lisbonne suivant la proposition de Règlement (UE) n°  XXX/20..</w:t>
            </w:r>
            <w:r w:rsidRPr="003B458D">
              <w:rPr>
                <w:b/>
                <w:snapToGrid w:val="0"/>
                <w:sz w:val="16"/>
                <w:szCs w:val="24"/>
                <w:lang w:val="fr-BE" w:eastAsia="fr-FR"/>
              </w:rPr>
              <w:t xml:space="preserve"> </w:t>
            </w:r>
            <w:r w:rsidRPr="003B458D">
              <w:rPr>
                <w:b/>
                <w:snapToGrid w:val="0"/>
                <w:sz w:val="16"/>
                <w:szCs w:val="24"/>
                <w:lang w:eastAsia="fr-FR"/>
              </w:rPr>
              <w:t>[COM(2011)663]</w:t>
            </w:r>
          </w:p>
        </w:tc>
        <w:tc>
          <w:tcPr>
            <w:tcW w:w="4651" w:type="dxa"/>
            <w:vAlign w:val="center"/>
          </w:tcPr>
          <w:p w:rsidR="002022AB" w:rsidRPr="003B458D" w:rsidRDefault="002022AB" w:rsidP="00075179">
            <w:pPr>
              <w:keepNext/>
              <w:jc w:val="center"/>
              <w:rPr>
                <w:b/>
                <w:snapToGrid w:val="0"/>
                <w:sz w:val="16"/>
                <w:szCs w:val="24"/>
                <w:lang w:eastAsia="fr-FR"/>
              </w:rPr>
            </w:pPr>
            <w:r w:rsidRPr="003B458D">
              <w:rPr>
                <w:b/>
                <w:snapToGrid w:val="0"/>
                <w:sz w:val="16"/>
                <w:szCs w:val="24"/>
                <w:lang w:eastAsia="fr-FR"/>
              </w:rPr>
              <w:t>Présent règlement</w:t>
            </w:r>
          </w:p>
        </w:tc>
      </w:tr>
      <w:tr w:rsidR="002022AB" w:rsidRPr="003B458D" w:rsidTr="00075179">
        <w:trPr>
          <w:trHeight w:val="219"/>
          <w:jc w:val="center"/>
        </w:trPr>
        <w:tc>
          <w:tcPr>
            <w:tcW w:w="4651" w:type="dxa"/>
          </w:tcPr>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1, premier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1, deuxième et troisième alinéas</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3</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r w:rsidRPr="003B458D">
              <w:rPr>
                <w:snapToGrid w:val="0"/>
                <w:sz w:val="16"/>
                <w:szCs w:val="24"/>
                <w:lang w:eastAsia="fr-FR"/>
              </w:rPr>
              <w:t>, paragraphe 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3 et 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6,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6,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8</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9</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10</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12,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12, paragraphes 2 et 3</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2, premier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2, deuxième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2, troisième alinéa</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paragraphes 3, 4 et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6</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8</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13, paragraphe 9</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15 bis</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16 bis</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16 ter</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18</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19</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20</w:t>
            </w:r>
          </w:p>
        </w:tc>
        <w:tc>
          <w:tcPr>
            <w:tcW w:w="4651" w:type="dxa"/>
          </w:tcPr>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w:t>
            </w:r>
            <w:r w:rsidRPr="003B458D">
              <w:rPr>
                <w:snapToGrid w:val="0"/>
                <w:sz w:val="16"/>
                <w:szCs w:val="24"/>
                <w:vertAlign w:val="superscript"/>
                <w:lang w:eastAsia="fr-FR"/>
              </w:rPr>
              <w:t>er</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4, paragraphe 3, et article 8,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4, paragraphes 1 et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8,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2 et 3</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8,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12, 17 et 18</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 xml:space="preserve">--- </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10</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Articles 13, 19 et 21, point b)</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16, paragraphe 1, point b)</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15, paragraphe 1</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15,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29</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 xml:space="preserve">Article 11 </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15, paragraphe 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15, paragraphe 6, et article 16, paragraphe 2</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23</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24</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25</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27</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30</w:t>
            </w:r>
          </w:p>
          <w:p w:rsidR="002022AB" w:rsidRPr="003B458D" w:rsidRDefault="002022AB" w:rsidP="00075179">
            <w:pPr>
              <w:spacing w:before="80" w:after="60"/>
              <w:jc w:val="both"/>
              <w:rPr>
                <w:snapToGrid w:val="0"/>
                <w:sz w:val="16"/>
                <w:szCs w:val="24"/>
                <w:lang w:eastAsia="fr-FR"/>
              </w:rPr>
            </w:pPr>
            <w:r w:rsidRPr="003B458D">
              <w:rPr>
                <w:snapToGrid w:val="0"/>
                <w:sz w:val="16"/>
                <w:szCs w:val="24"/>
                <w:lang w:eastAsia="fr-FR"/>
              </w:rPr>
              <w:t>Article 32</w:t>
            </w:r>
          </w:p>
        </w:tc>
      </w:tr>
    </w:tbl>
    <w:p w:rsidR="002022AB" w:rsidRPr="003B458D" w:rsidRDefault="002022AB" w:rsidP="00075179">
      <w:pPr>
        <w:ind w:hanging="8"/>
        <w:jc w:val="center"/>
        <w:rPr>
          <w:b/>
          <w:snapToGrid w:val="0"/>
          <w:szCs w:val="24"/>
          <w:u w:val="single"/>
          <w:lang w:eastAsia="fr-FR"/>
        </w:rPr>
      </w:pPr>
    </w:p>
    <w:p w:rsidR="002022AB" w:rsidRPr="003B458D" w:rsidRDefault="002022AB" w:rsidP="00075179">
      <w:pPr>
        <w:jc w:val="both"/>
        <w:rPr>
          <w:snapToGrid w:val="0"/>
          <w:szCs w:val="24"/>
          <w:lang w:eastAsia="fr-FR"/>
        </w:rPr>
      </w:pPr>
    </w:p>
    <w:p w:rsidR="002022AB" w:rsidRPr="00D23FD0" w:rsidRDefault="002022AB" w:rsidP="00075179">
      <w:bookmarkStart w:id="17" w:name="TextBodyEnd"/>
      <w:bookmarkEnd w:id="17"/>
    </w:p>
    <w:p w:rsidR="002022AB" w:rsidRDefault="002022AB">
      <w:pPr>
        <w:rPr>
          <w:noProof w:val="0"/>
        </w:rPr>
        <w:sectPr w:rsidR="002022AB" w:rsidSect="00075179">
          <w:footerReference w:type="even" r:id="rId18"/>
          <w:footerReference w:type="default" r:id="rId19"/>
          <w:footnotePr>
            <w:numRestart w:val="eachPage"/>
          </w:footnotePr>
          <w:pgSz w:w="11907" w:h="16840" w:code="9"/>
          <w:pgMar w:top="1134" w:right="1247" w:bottom="1814" w:left="1418" w:header="720" w:footer="0" w:gutter="0"/>
          <w:pgNumType w:start="1"/>
          <w:cols w:space="720"/>
        </w:sectPr>
      </w:pPr>
    </w:p>
    <w:p w:rsidR="002022AB" w:rsidRPr="007C10ED" w:rsidRDefault="002022AB" w:rsidP="00075179">
      <w:pPr>
        <w:pStyle w:val="ATHeading1"/>
      </w:pPr>
      <w:bookmarkStart w:id="18" w:name="_Toc385342980"/>
      <w:bookmarkStart w:id="19" w:name="_Toc385343055"/>
      <w:r w:rsidRPr="007C10ED">
        <w:t>P7_TA-PROV(2014)0</w:t>
      </w:r>
      <w:r>
        <w:t>363</w:t>
      </w:r>
      <w:bookmarkEnd w:id="18"/>
      <w:bookmarkEnd w:id="19"/>
    </w:p>
    <w:p w:rsidR="002022AB" w:rsidRPr="007C10ED" w:rsidRDefault="002022AB" w:rsidP="00075179">
      <w:pPr>
        <w:pStyle w:val="ATHeading2"/>
      </w:pPr>
      <w:bookmarkStart w:id="20" w:name="_Toc385342981"/>
      <w:bookmarkStart w:id="21" w:name="_Toc385343056"/>
      <w:r w:rsidRPr="007C10ED">
        <w:t>Programme de recherche et développement sur l’assistance à la vie active ***I</w:t>
      </w:r>
      <w:bookmarkEnd w:id="20"/>
      <w:bookmarkEnd w:id="21"/>
    </w:p>
    <w:p w:rsidR="002022AB" w:rsidRPr="007C10ED" w:rsidRDefault="002022AB" w:rsidP="00075179">
      <w:pPr>
        <w:rPr>
          <w:i/>
          <w:vanish/>
        </w:rPr>
      </w:pPr>
      <w:r w:rsidRPr="007C10ED">
        <w:rPr>
          <w:i/>
        </w:rPr>
        <w:fldChar w:fldCharType="begin"/>
      </w:r>
      <w:r w:rsidRPr="007C10ED">
        <w:rPr>
          <w:i/>
        </w:rPr>
        <w:instrText xml:space="preserve"> TC"</w:instrText>
      </w:r>
      <w:bookmarkStart w:id="22" w:name="_Toc385342982"/>
      <w:bookmarkStart w:id="23" w:name="_Toc385343057"/>
      <w:r w:rsidRPr="007C10ED">
        <w:rPr>
          <w:i/>
        </w:rPr>
        <w:instrText>(A7-0076/2014 - Rapporteur: Claude Turmes)</w:instrText>
      </w:r>
      <w:bookmarkEnd w:id="22"/>
      <w:bookmarkEnd w:id="23"/>
      <w:r w:rsidRPr="007C10ED">
        <w:rPr>
          <w:i/>
        </w:rPr>
        <w:instrText xml:space="preserve">"\l3 \n&gt; \* MERGEFORMAT </w:instrText>
      </w:r>
      <w:r w:rsidRPr="007C10ED">
        <w:rPr>
          <w:i/>
        </w:rPr>
        <w:fldChar w:fldCharType="end"/>
      </w:r>
    </w:p>
    <w:p w:rsidR="002022AB" w:rsidRPr="007C10ED" w:rsidRDefault="002022AB" w:rsidP="00075179">
      <w:pPr>
        <w:rPr>
          <w:vanish/>
        </w:rPr>
      </w:pPr>
      <w:r w:rsidRPr="007C10ED">
        <w:rPr>
          <w:vanish/>
        </w:rPr>
        <w:t>Commission de l'industrie, de la recherche et de l'énergie</w:t>
      </w:r>
    </w:p>
    <w:p w:rsidR="002022AB" w:rsidRPr="007C10ED" w:rsidRDefault="002022AB" w:rsidP="00075179">
      <w:pPr>
        <w:rPr>
          <w:vanish/>
        </w:rPr>
      </w:pPr>
      <w:r w:rsidRPr="007C10ED">
        <w:rPr>
          <w:vanish/>
        </w:rPr>
        <w:t>PE523.017</w:t>
      </w:r>
    </w:p>
    <w:p w:rsidR="002022AB" w:rsidRPr="007C10ED" w:rsidRDefault="002022AB" w:rsidP="00075179">
      <w:pPr>
        <w:pStyle w:val="ATHeading3"/>
      </w:pPr>
      <w:bookmarkStart w:id="24" w:name="_Toc385343058"/>
      <w:r w:rsidRPr="007C10ED">
        <w:t>Résolution législative du Parlement européen du 15 avril 2014 sur la proposition de décision du Parlement européen et du Conseil sur la participation de l'Union au programme de recherche et développement sur l'assistance à la vie active entrepris en commun par plusieurs États membres (COM(2013)0500 – C7-0219/2013 – 2013/0233(COD))</w:t>
      </w:r>
      <w:bookmarkEnd w:id="24"/>
    </w:p>
    <w:p w:rsidR="002022AB" w:rsidRPr="007C10ED" w:rsidRDefault="002022AB" w:rsidP="00075179"/>
    <w:p w:rsidR="002022AB" w:rsidRPr="007C10ED" w:rsidRDefault="002022AB" w:rsidP="00075179">
      <w:pPr>
        <w:pStyle w:val="Normal12Bold"/>
        <w:rPr>
          <w:szCs w:val="24"/>
        </w:rPr>
      </w:pPr>
      <w:r w:rsidRPr="007C10ED">
        <w:rPr>
          <w:noProof/>
          <w:szCs w:val="24"/>
        </w:rPr>
        <w:t>(Procédure législative ordinaire:</w:t>
      </w:r>
      <w:r w:rsidRPr="007C10ED">
        <w:rPr>
          <w:szCs w:val="24"/>
        </w:rPr>
        <w:t xml:space="preserve"> </w:t>
      </w:r>
      <w:r w:rsidRPr="007C10ED">
        <w:rPr>
          <w:noProof/>
          <w:szCs w:val="24"/>
        </w:rPr>
        <w:t>première lecture)</w:t>
      </w:r>
    </w:p>
    <w:p w:rsidR="002022AB" w:rsidRPr="007C10ED" w:rsidRDefault="002022AB" w:rsidP="00075179">
      <w:pPr>
        <w:pStyle w:val="Normal12"/>
        <w:spacing w:before="360"/>
        <w:rPr>
          <w:szCs w:val="24"/>
        </w:rPr>
      </w:pPr>
      <w:r w:rsidRPr="007C10ED">
        <w:rPr>
          <w:i/>
          <w:noProof/>
          <w:szCs w:val="24"/>
        </w:rPr>
        <w:t>Le Parlement européen</w:t>
      </w:r>
      <w:r w:rsidRPr="007C10ED">
        <w:rPr>
          <w:noProof/>
          <w:szCs w:val="24"/>
        </w:rPr>
        <w:t>,</w:t>
      </w:r>
    </w:p>
    <w:p w:rsidR="002022AB" w:rsidRPr="007C10ED" w:rsidRDefault="002022AB" w:rsidP="00075179">
      <w:pPr>
        <w:pStyle w:val="Normal12Hanging"/>
        <w:widowControl/>
        <w:rPr>
          <w:szCs w:val="24"/>
        </w:rPr>
      </w:pPr>
      <w:r w:rsidRPr="007C10ED">
        <w:rPr>
          <w:szCs w:val="24"/>
        </w:rPr>
        <w:t>–</w:t>
      </w:r>
      <w:r w:rsidRPr="007C10ED">
        <w:rPr>
          <w:szCs w:val="24"/>
        </w:rPr>
        <w:tab/>
      </w:r>
      <w:r w:rsidRPr="007C10ED">
        <w:rPr>
          <w:noProof/>
          <w:szCs w:val="24"/>
        </w:rPr>
        <w:t>vu la proposition de la Commission au Parlement européen et au Conseil (COM(2013)0500),</w:t>
      </w:r>
    </w:p>
    <w:p w:rsidR="002022AB" w:rsidRPr="007C10ED" w:rsidRDefault="002022AB" w:rsidP="00075179">
      <w:pPr>
        <w:pStyle w:val="Normal12Hanging"/>
        <w:widowControl/>
        <w:rPr>
          <w:szCs w:val="24"/>
        </w:rPr>
      </w:pPr>
      <w:r w:rsidRPr="007C10ED">
        <w:rPr>
          <w:szCs w:val="24"/>
        </w:rPr>
        <w:t>–</w:t>
      </w:r>
      <w:r w:rsidRPr="007C10ED">
        <w:rPr>
          <w:szCs w:val="24"/>
        </w:rPr>
        <w:tab/>
      </w:r>
      <w:r w:rsidRPr="007C10ED">
        <w:rPr>
          <w:noProof/>
          <w:szCs w:val="24"/>
        </w:rPr>
        <w:t>vu l'article 294, paragraphe 2, l'article 185, et l'article 188, alinéa 2, du traité sur le fonctionnement de l'Union européenne, conformément auxquels la proposition lui a été présentée par la Commission (C7</w:t>
      </w:r>
      <w:r w:rsidRPr="007C10ED">
        <w:rPr>
          <w:noProof/>
          <w:szCs w:val="24"/>
        </w:rPr>
        <w:noBreakHyphen/>
        <w:t>0219/2013),</w:t>
      </w:r>
    </w:p>
    <w:p w:rsidR="002022AB" w:rsidRPr="007C10ED" w:rsidRDefault="002022AB" w:rsidP="00075179">
      <w:pPr>
        <w:pStyle w:val="Normal12Hanging"/>
        <w:widowControl/>
        <w:rPr>
          <w:szCs w:val="24"/>
        </w:rPr>
      </w:pPr>
      <w:r w:rsidRPr="007C10ED">
        <w:rPr>
          <w:szCs w:val="24"/>
        </w:rPr>
        <w:t>–</w:t>
      </w:r>
      <w:r w:rsidRPr="007C10ED">
        <w:rPr>
          <w:szCs w:val="24"/>
        </w:rPr>
        <w:tab/>
      </w:r>
      <w:r w:rsidRPr="007C10ED">
        <w:rPr>
          <w:noProof/>
          <w:szCs w:val="24"/>
        </w:rPr>
        <w:t>vu l'article 294, paragraphe 3, du traité sur le fonctionnement de l'Union européenne,</w:t>
      </w:r>
    </w:p>
    <w:p w:rsidR="002022AB" w:rsidRPr="007C10ED" w:rsidRDefault="002022AB" w:rsidP="00075179">
      <w:pPr>
        <w:pStyle w:val="Normal12Hanging"/>
        <w:widowControl/>
        <w:rPr>
          <w:noProof/>
          <w:szCs w:val="24"/>
        </w:rPr>
      </w:pPr>
      <w:r w:rsidRPr="007C10ED">
        <w:rPr>
          <w:szCs w:val="24"/>
        </w:rPr>
        <w:t>–</w:t>
      </w:r>
      <w:r w:rsidRPr="007C10ED">
        <w:rPr>
          <w:szCs w:val="24"/>
        </w:rPr>
        <w:tab/>
      </w:r>
      <w:r w:rsidRPr="007C10ED">
        <w:rPr>
          <w:noProof/>
          <w:szCs w:val="24"/>
        </w:rPr>
        <w:t>vu l'avis du Comité économique et social européen du 10 décembre 2013</w:t>
      </w:r>
      <w:r w:rsidRPr="007C10ED">
        <w:rPr>
          <w:noProof/>
          <w:szCs w:val="24"/>
          <w:vertAlign w:val="superscript"/>
        </w:rPr>
        <w:footnoteReference w:id="12"/>
      </w:r>
      <w:r w:rsidRPr="007C10ED">
        <w:rPr>
          <w:noProof/>
          <w:szCs w:val="24"/>
        </w:rPr>
        <w:t>,</w:t>
      </w:r>
    </w:p>
    <w:p w:rsidR="002022AB" w:rsidRPr="007C10ED" w:rsidRDefault="002022AB" w:rsidP="00075179">
      <w:pPr>
        <w:pStyle w:val="Normal12Hanging"/>
        <w:widowControl/>
      </w:pPr>
      <w:r w:rsidRPr="007C10ED">
        <w:t>–</w:t>
      </w:r>
      <w:r w:rsidRPr="007C10ED">
        <w:tab/>
        <w:t xml:space="preserve">vu l'engagement pris par le représentant du Conseil, par lettre du 26 février 2014, d'approuver la </w:t>
      </w:r>
      <w:r w:rsidRPr="007C10ED">
        <w:rPr>
          <w:noProof/>
          <w:szCs w:val="24"/>
        </w:rPr>
        <w:t>position</w:t>
      </w:r>
      <w:r w:rsidRPr="007C10ED">
        <w:t xml:space="preserve"> du Parlement européen, conformément à l'article 294, paragraphe 4, du traité sur le fonctionnement de l'Union européenne,</w:t>
      </w:r>
    </w:p>
    <w:p w:rsidR="002022AB" w:rsidRPr="007C10ED" w:rsidRDefault="002022AB" w:rsidP="00075179">
      <w:pPr>
        <w:pStyle w:val="Normal12Hanging"/>
        <w:widowControl/>
        <w:rPr>
          <w:szCs w:val="24"/>
        </w:rPr>
      </w:pPr>
      <w:r w:rsidRPr="007C10ED">
        <w:rPr>
          <w:szCs w:val="24"/>
        </w:rPr>
        <w:t>–</w:t>
      </w:r>
      <w:r w:rsidRPr="007C10ED">
        <w:rPr>
          <w:szCs w:val="24"/>
        </w:rPr>
        <w:tab/>
      </w:r>
      <w:r w:rsidRPr="007C10ED">
        <w:rPr>
          <w:noProof/>
          <w:szCs w:val="24"/>
        </w:rPr>
        <w:t>vu l'article 55 de son règlement,</w:t>
      </w:r>
    </w:p>
    <w:p w:rsidR="002022AB" w:rsidRPr="007C10ED" w:rsidRDefault="002022AB" w:rsidP="00075179">
      <w:pPr>
        <w:pStyle w:val="Normal12Hanging"/>
        <w:widowControl/>
        <w:rPr>
          <w:szCs w:val="24"/>
        </w:rPr>
      </w:pPr>
      <w:r w:rsidRPr="007C10ED">
        <w:rPr>
          <w:szCs w:val="24"/>
        </w:rPr>
        <w:t>–</w:t>
      </w:r>
      <w:r w:rsidRPr="007C10ED">
        <w:rPr>
          <w:szCs w:val="24"/>
        </w:rPr>
        <w:tab/>
      </w:r>
      <w:r w:rsidRPr="007C10ED">
        <w:rPr>
          <w:noProof/>
          <w:szCs w:val="24"/>
        </w:rPr>
        <w:t>vu le rapport de la commission de l'industrie, de la recherche et de l'énergie et l'avis de la commission des droits de la femme et l'égalité des genres (A7-0076/2014),</w:t>
      </w:r>
    </w:p>
    <w:p w:rsidR="002022AB" w:rsidRPr="007C10ED" w:rsidRDefault="002022AB" w:rsidP="00075179">
      <w:pPr>
        <w:pStyle w:val="Normal12Hanging"/>
        <w:widowControl/>
        <w:rPr>
          <w:szCs w:val="24"/>
        </w:rPr>
      </w:pPr>
      <w:r w:rsidRPr="007C10ED">
        <w:rPr>
          <w:szCs w:val="24"/>
        </w:rPr>
        <w:t>1.</w:t>
      </w:r>
      <w:r w:rsidRPr="007C10ED">
        <w:rPr>
          <w:szCs w:val="24"/>
        </w:rPr>
        <w:tab/>
      </w:r>
      <w:r w:rsidRPr="007C10ED">
        <w:rPr>
          <w:noProof/>
          <w:szCs w:val="24"/>
        </w:rPr>
        <w:t>arrête la position en première lecture figurant ci-après;</w:t>
      </w:r>
    </w:p>
    <w:p w:rsidR="002022AB" w:rsidRPr="007C10ED" w:rsidRDefault="002022AB" w:rsidP="00075179">
      <w:pPr>
        <w:pStyle w:val="Normal12Hanging"/>
        <w:widowControl/>
        <w:rPr>
          <w:szCs w:val="24"/>
        </w:rPr>
      </w:pPr>
      <w:r w:rsidRPr="007C10ED">
        <w:rPr>
          <w:szCs w:val="24"/>
        </w:rPr>
        <w:t>2.</w:t>
      </w:r>
      <w:r w:rsidRPr="007C10ED">
        <w:rPr>
          <w:szCs w:val="24"/>
        </w:rPr>
        <w:tab/>
      </w:r>
      <w:r w:rsidRPr="007C10ED">
        <w:rPr>
          <w:noProof/>
          <w:szCs w:val="24"/>
        </w:rPr>
        <w:t>demande à la Commission de le saisir à nouveau, si elle entend modifier de manière substantielle sa proposition ou la remplacer par un autre texte;</w:t>
      </w:r>
    </w:p>
    <w:p w:rsidR="002022AB" w:rsidRPr="007C10ED" w:rsidRDefault="002022AB" w:rsidP="00075179">
      <w:pPr>
        <w:pStyle w:val="Normal12Hanging"/>
        <w:widowControl/>
        <w:rPr>
          <w:szCs w:val="24"/>
        </w:rPr>
      </w:pPr>
      <w:r w:rsidRPr="007C10ED">
        <w:rPr>
          <w:szCs w:val="24"/>
        </w:rPr>
        <w:t>3.</w:t>
      </w:r>
      <w:r w:rsidRPr="007C10ED">
        <w:rPr>
          <w:szCs w:val="24"/>
        </w:rPr>
        <w:tab/>
      </w:r>
      <w:r w:rsidRPr="007C10ED">
        <w:rPr>
          <w:noProof/>
          <w:szCs w:val="24"/>
        </w:rPr>
        <w:t>charge son Président de transmettre la position du Parlement au Conseil et à la Commission ainsi qu'aux parlements nationaux.</w:t>
      </w:r>
    </w:p>
    <w:p w:rsidR="002022AB" w:rsidRPr="007C10ED" w:rsidRDefault="002022AB" w:rsidP="00075179">
      <w:pPr>
        <w:spacing w:after="240"/>
        <w:rPr>
          <w:b/>
        </w:rPr>
      </w:pPr>
      <w:r w:rsidRPr="007C10ED">
        <w:rPr>
          <w:szCs w:val="24"/>
        </w:rPr>
        <w:br w:type="page"/>
      </w:r>
      <w:r w:rsidRPr="007C10ED">
        <w:rPr>
          <w:b/>
        </w:rPr>
        <w:t>P7_TC1-COD(2013)0233</w:t>
      </w:r>
    </w:p>
    <w:p w:rsidR="002022AB" w:rsidRPr="007C10ED" w:rsidRDefault="002022AB" w:rsidP="00075179">
      <w:pPr>
        <w:spacing w:after="240"/>
        <w:rPr>
          <w:b/>
          <w:bCs/>
          <w:szCs w:val="24"/>
          <w:lang w:eastAsia="fr-FR" w:bidi="fr-FR"/>
        </w:rPr>
      </w:pPr>
      <w:r w:rsidRPr="007C10ED">
        <w:rPr>
          <w:b/>
        </w:rPr>
        <w:t xml:space="preserve">Position du Parlement européen arrêtée en première lecture le 15 avril 2014 en vue de l’adoption de la décision n° …/2014/UE du Parlement européen et du Conseil </w:t>
      </w:r>
      <w:r w:rsidRPr="007C10ED">
        <w:rPr>
          <w:b/>
          <w:szCs w:val="24"/>
          <w:lang w:eastAsia="fr-FR" w:bidi="fr-FR"/>
        </w:rPr>
        <w:t>sur la participation de l'Union au programme de recherche et développement sur l'assistance à la vie active entrepris conjointement par plusieurs États membres</w:t>
      </w:r>
    </w:p>
    <w:p w:rsidR="002022AB" w:rsidRPr="007C10ED" w:rsidRDefault="002022AB" w:rsidP="00075179">
      <w:pPr>
        <w:autoSpaceDE w:val="0"/>
        <w:autoSpaceDN w:val="0"/>
        <w:adjustRightInd w:val="0"/>
        <w:jc w:val="center"/>
        <w:rPr>
          <w:b/>
          <w:bCs/>
          <w:szCs w:val="24"/>
          <w:lang w:eastAsia="fr-FR" w:bidi="fr-FR"/>
        </w:rPr>
      </w:pPr>
      <w:r w:rsidRPr="007C10ED">
        <w:rPr>
          <w:color w:val="000000"/>
          <w:szCs w:val="24"/>
          <w:lang w:eastAsia="fr-FR" w:bidi="fr-FR"/>
        </w:rPr>
        <w:t xml:space="preserve"> ▌</w:t>
      </w:r>
    </w:p>
    <w:p w:rsidR="002022AB" w:rsidRPr="007C10ED" w:rsidRDefault="002022AB" w:rsidP="00075179">
      <w:pPr>
        <w:autoSpaceDE w:val="0"/>
        <w:autoSpaceDN w:val="0"/>
        <w:adjustRightInd w:val="0"/>
        <w:spacing w:before="600" w:after="120" w:line="360" w:lineRule="auto"/>
        <w:rPr>
          <w:szCs w:val="24"/>
          <w:lang w:eastAsia="fr-FR" w:bidi="fr-FR"/>
        </w:rPr>
      </w:pPr>
      <w:r w:rsidRPr="007C10ED">
        <w:rPr>
          <w:szCs w:val="24"/>
          <w:lang w:eastAsia="fr-FR" w:bidi="fr-FR"/>
        </w:rPr>
        <w:t>LE PARLEMENT EUROPÉEN ET LE CONSEIL DE L'UNION EUROPÉENNE,</w:t>
      </w:r>
    </w:p>
    <w:p w:rsidR="002022AB" w:rsidRPr="007C10ED" w:rsidRDefault="002022AB" w:rsidP="00075179">
      <w:pPr>
        <w:autoSpaceDE w:val="0"/>
        <w:autoSpaceDN w:val="0"/>
        <w:adjustRightInd w:val="0"/>
        <w:spacing w:before="120" w:after="120" w:line="360" w:lineRule="auto"/>
        <w:jc w:val="both"/>
        <w:rPr>
          <w:szCs w:val="24"/>
          <w:lang w:eastAsia="fr-FR" w:bidi="fr-FR"/>
        </w:rPr>
      </w:pPr>
      <w:r w:rsidRPr="007C10ED">
        <w:rPr>
          <w:szCs w:val="24"/>
          <w:lang w:eastAsia="fr-FR" w:bidi="fr-FR"/>
        </w:rPr>
        <w:t>vu le traité sur le fonctionnement de l'Union européenne, et notamment son article 185 et son article 188, deuxième alinéa,</w:t>
      </w:r>
    </w:p>
    <w:p w:rsidR="002022AB" w:rsidRPr="007C10ED" w:rsidRDefault="002022AB" w:rsidP="00075179">
      <w:pPr>
        <w:autoSpaceDE w:val="0"/>
        <w:autoSpaceDN w:val="0"/>
        <w:adjustRightInd w:val="0"/>
        <w:spacing w:before="120" w:after="120" w:line="360" w:lineRule="auto"/>
        <w:jc w:val="both"/>
        <w:rPr>
          <w:szCs w:val="24"/>
          <w:lang w:eastAsia="fr-FR" w:bidi="fr-FR"/>
        </w:rPr>
      </w:pPr>
      <w:r w:rsidRPr="007C10ED">
        <w:rPr>
          <w:szCs w:val="24"/>
          <w:lang w:eastAsia="fr-FR" w:bidi="fr-FR"/>
        </w:rPr>
        <w:t>vu la proposition de la Commission européenne,</w:t>
      </w:r>
    </w:p>
    <w:p w:rsidR="002022AB" w:rsidRPr="007C10ED" w:rsidRDefault="002022AB" w:rsidP="00075179">
      <w:pPr>
        <w:autoSpaceDE w:val="0"/>
        <w:autoSpaceDN w:val="0"/>
        <w:adjustRightInd w:val="0"/>
        <w:spacing w:before="120" w:after="120" w:line="360" w:lineRule="auto"/>
        <w:jc w:val="both"/>
        <w:rPr>
          <w:szCs w:val="24"/>
          <w:lang w:eastAsia="fr-FR" w:bidi="fr-FR"/>
        </w:rPr>
      </w:pPr>
      <w:r w:rsidRPr="007C10ED">
        <w:rPr>
          <w:szCs w:val="24"/>
          <w:lang w:eastAsia="fr-FR" w:bidi="fr-FR"/>
        </w:rPr>
        <w:t>après transmission du projet d'acte législatif aux parlements nationaux,</w:t>
      </w:r>
    </w:p>
    <w:p w:rsidR="002022AB" w:rsidRPr="007C10ED" w:rsidRDefault="002022AB" w:rsidP="00075179">
      <w:pPr>
        <w:autoSpaceDE w:val="0"/>
        <w:autoSpaceDN w:val="0"/>
        <w:adjustRightInd w:val="0"/>
        <w:spacing w:before="120" w:after="120" w:line="360" w:lineRule="auto"/>
        <w:jc w:val="both"/>
        <w:rPr>
          <w:szCs w:val="24"/>
          <w:lang w:eastAsia="fr-FR" w:bidi="fr-FR"/>
        </w:rPr>
      </w:pPr>
      <w:r w:rsidRPr="007C10ED">
        <w:rPr>
          <w:szCs w:val="24"/>
          <w:lang w:eastAsia="fr-FR" w:bidi="fr-FR"/>
        </w:rPr>
        <w:t>vu l'avis du Comité économique et social européen</w:t>
      </w:r>
      <w:r w:rsidRPr="007C10ED">
        <w:rPr>
          <w:b/>
          <w:szCs w:val="24"/>
          <w:vertAlign w:val="superscript"/>
          <w:lang w:eastAsia="fr-FR" w:bidi="fr-FR"/>
        </w:rPr>
        <w:footnoteReference w:id="13"/>
      </w:r>
      <w:r w:rsidRPr="007C10ED">
        <w:rPr>
          <w:szCs w:val="24"/>
          <w:lang w:eastAsia="fr-FR" w:bidi="fr-FR"/>
        </w:rPr>
        <w:t>,</w:t>
      </w:r>
    </w:p>
    <w:p w:rsidR="002022AB" w:rsidRPr="007C10ED" w:rsidRDefault="002022AB" w:rsidP="00075179">
      <w:pPr>
        <w:autoSpaceDE w:val="0"/>
        <w:autoSpaceDN w:val="0"/>
        <w:adjustRightInd w:val="0"/>
        <w:spacing w:before="120" w:after="120" w:line="360" w:lineRule="auto"/>
        <w:jc w:val="both"/>
        <w:rPr>
          <w:szCs w:val="24"/>
          <w:lang w:eastAsia="fr-FR" w:bidi="fr-FR"/>
        </w:rPr>
      </w:pPr>
      <w:r w:rsidRPr="007C10ED">
        <w:rPr>
          <w:szCs w:val="24"/>
          <w:lang w:eastAsia="fr-FR" w:bidi="fr-FR"/>
        </w:rPr>
        <w:t>statuant conformément à la procédure législative ordinaire</w:t>
      </w:r>
      <w:r w:rsidRPr="007C10ED">
        <w:rPr>
          <w:b/>
          <w:szCs w:val="24"/>
          <w:vertAlign w:val="superscript"/>
          <w:lang w:eastAsia="fr-FR" w:bidi="fr-FR"/>
        </w:rPr>
        <w:footnoteReference w:id="14"/>
      </w:r>
      <w:r w:rsidRPr="007C10ED">
        <w:rPr>
          <w:szCs w:val="24"/>
          <w:lang w:eastAsia="fr-FR" w:bidi="fr-FR"/>
        </w:rPr>
        <w:t>,</w:t>
      </w:r>
    </w:p>
    <w:p w:rsidR="002022AB" w:rsidRPr="007C10ED" w:rsidRDefault="002022AB" w:rsidP="00075179">
      <w:pPr>
        <w:widowControl w:val="0"/>
        <w:autoSpaceDE w:val="0"/>
        <w:autoSpaceDN w:val="0"/>
        <w:adjustRightInd w:val="0"/>
        <w:spacing w:before="120" w:after="120" w:line="360" w:lineRule="auto"/>
        <w:rPr>
          <w:szCs w:val="24"/>
          <w:lang w:eastAsia="fr-FR" w:bidi="fr-FR"/>
        </w:rPr>
      </w:pPr>
      <w:r w:rsidRPr="007C10ED">
        <w:rPr>
          <w:szCs w:val="24"/>
          <w:lang w:eastAsia="fr-FR" w:bidi="fr-FR"/>
        </w:rPr>
        <w:br w:type="page"/>
        <w:t>considérant ce qui suit: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 xml:space="preserve">Dans sa communication du 3 mars 2010 intitulée "Europe 2020 </w:t>
      </w:r>
      <w:r w:rsidRPr="007C10ED">
        <w:rPr>
          <w:szCs w:val="24"/>
          <w:lang w:eastAsia="fr-FR" w:bidi="fr-FR"/>
        </w:rPr>
        <w:noBreakHyphen/>
        <w:t xml:space="preserve"> Une stratégie pour une croissance intelligente, durable et inclusive" (ci-après dénommée "stratégie Europe 2020"), la Commission a souligné la nécessité de mettre en place des conditions favorables à l'investissement dans les domaines de la connaissance et de l'innovation de manière à atteindre l'objectif d'une croissance intelligente, durable et inclusive dans l'Union. Tant le Parlement européen que le Conseil ont approuvé cette stratégie.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Le règlement (UE) n° 1291/2013 du Parlement européen et du Conseil</w:t>
      </w:r>
      <w:r w:rsidRPr="007C10ED">
        <w:rPr>
          <w:b/>
          <w:szCs w:val="24"/>
          <w:vertAlign w:val="superscript"/>
          <w:lang w:eastAsia="fr-FR" w:bidi="fr-FR"/>
        </w:rPr>
        <w:footnoteReference w:id="15"/>
      </w:r>
      <w:r w:rsidRPr="007C10ED">
        <w:rPr>
          <w:szCs w:val="24"/>
          <w:lang w:eastAsia="fr-FR" w:bidi="fr-FR"/>
        </w:rPr>
        <w:t xml:space="preserve"> a institué le programme</w:t>
      </w:r>
      <w:r w:rsidRPr="007C10ED">
        <w:rPr>
          <w:szCs w:val="24"/>
          <w:lang w:eastAsia="fr-FR" w:bidi="fr-FR"/>
        </w:rPr>
        <w:noBreakHyphen/>
        <w:t>cadre pour la recherche et l'innovation "Horizon 2020" (2014</w:t>
      </w:r>
      <w:r w:rsidRPr="007C10ED">
        <w:rPr>
          <w:szCs w:val="24"/>
          <w:lang w:eastAsia="fr-FR" w:bidi="fr-FR"/>
        </w:rPr>
        <w:noBreakHyphen/>
        <w:t>2020) (ci</w:t>
      </w:r>
      <w:r w:rsidRPr="007C10ED">
        <w:rPr>
          <w:szCs w:val="24"/>
          <w:lang w:eastAsia="fr-FR" w:bidi="fr-FR"/>
        </w:rPr>
        <w:noBreakHyphen/>
        <w:t>après dénommé "Horizon 2020"). Horizon 2020 vise obtenir un impact plus important sur la recherche et l'innovation, en contribuant au renforcement des partenariats public</w:t>
      </w:r>
      <w:r w:rsidRPr="007C10ED">
        <w:rPr>
          <w:szCs w:val="24"/>
          <w:lang w:eastAsia="fr-FR" w:bidi="fr-FR"/>
        </w:rPr>
        <w:noBreakHyphen/>
        <w:t>public, y compris par la participation de l'Union à des programmes entrepris par plusieurs États membres conformément à l'article 185 du traité sur le fonctionnement de l'Union européenne.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b/>
          <w:i/>
          <w:color w:val="000000"/>
          <w:szCs w:val="24"/>
          <w:lang w:eastAsia="fr-FR" w:bidi="fr-FR"/>
        </w:rPr>
        <w:t>(3)</w:t>
      </w:r>
      <w:r w:rsidRPr="007C10ED">
        <w:rPr>
          <w:szCs w:val="24"/>
          <w:lang w:eastAsia="fr-FR" w:bidi="fr-FR"/>
        </w:rPr>
        <w:tab/>
      </w:r>
      <w:r w:rsidRPr="007C10ED">
        <w:rPr>
          <w:b/>
          <w:i/>
          <w:color w:val="000000"/>
          <w:szCs w:val="24"/>
          <w:lang w:eastAsia="fr-FR" w:bidi="fr-FR"/>
        </w:rPr>
        <w:t>Les partenariats public</w:t>
      </w:r>
      <w:r w:rsidRPr="007C10ED">
        <w:rPr>
          <w:b/>
          <w:i/>
          <w:color w:val="000000"/>
          <w:szCs w:val="24"/>
          <w:lang w:eastAsia="fr-FR" w:bidi="fr-FR"/>
        </w:rPr>
        <w:noBreakHyphen/>
        <w:t>public devraient viser à créer des synergies plus étroites, à améliorer la coordination et à éviter les doubles emplois avec les programmes de recherche de l'Union, ainsi qu'avec les programmes de recherche internationaux, nationaux et régionaux, et ils devraient respecter pleinement les principes généraux d'Horizon 2020, en particulier ceux relatifs à l'ouverture et à la transparence. En outre, il convient d'assurer le libre accès aux publications scientifiques.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(4)</w:t>
      </w:r>
      <w:r w:rsidRPr="007C10ED">
        <w:rPr>
          <w:szCs w:val="24"/>
          <w:lang w:eastAsia="fr-FR" w:bidi="fr-FR"/>
        </w:rPr>
        <w:tab/>
        <w:t>La décision n° 742/2008/CE du Parlement européen et du Conseil</w:t>
      </w:r>
      <w:r w:rsidRPr="007C10ED">
        <w:rPr>
          <w:b/>
          <w:szCs w:val="24"/>
          <w:vertAlign w:val="superscript"/>
          <w:lang w:eastAsia="fr-FR" w:bidi="fr-FR"/>
        </w:rPr>
        <w:footnoteReference w:id="16"/>
      </w:r>
      <w:r w:rsidRPr="007C10ED">
        <w:rPr>
          <w:szCs w:val="24"/>
          <w:lang w:eastAsia="fr-FR" w:bidi="fr-FR"/>
        </w:rPr>
        <w:t xml:space="preserve"> prévoit une contribution financière de la Communauté en faveur du programme commun de recherche et développement sur l'assistance à l'autonomie à domicile (ci</w:t>
      </w:r>
      <w:r w:rsidRPr="007C10ED">
        <w:rPr>
          <w:szCs w:val="24"/>
          <w:lang w:eastAsia="fr-FR" w:bidi="fr-FR"/>
        </w:rPr>
        <w:noBreakHyphen/>
        <w:t>après dénommé "PC AAD") équivalente à celle des États membres mais ne dépassant pas 150 000 000 EUR pour la durée du septième programme</w:t>
      </w:r>
      <w:r w:rsidRPr="007C10ED">
        <w:rPr>
          <w:szCs w:val="24"/>
          <w:lang w:eastAsia="fr-FR" w:bidi="fr-FR"/>
        </w:rPr>
        <w:noBreakHyphen/>
        <w:t>cadre de la Communauté européenne pour des actions de recherche, de développement technologique et de démonstration (2007</w:t>
      </w:r>
      <w:r w:rsidRPr="007C10ED">
        <w:rPr>
          <w:szCs w:val="24"/>
          <w:lang w:eastAsia="fr-FR" w:bidi="fr-FR"/>
        </w:rPr>
        <w:noBreakHyphen/>
        <w:t>2013) institué par la décision n° 1982/2006/CE du Parlement européen et du Conseil</w:t>
      </w:r>
      <w:r w:rsidRPr="007C10ED">
        <w:rPr>
          <w:b/>
          <w:szCs w:val="24"/>
          <w:vertAlign w:val="superscript"/>
          <w:lang w:eastAsia="fr-FR" w:bidi="fr-FR"/>
        </w:rPr>
        <w:footnoteReference w:id="17"/>
      </w:r>
      <w:r w:rsidRPr="007C10ED">
        <w:rPr>
          <w:szCs w:val="24"/>
          <w:lang w:eastAsia="fr-FR" w:bidi="fr-FR"/>
        </w:rPr>
        <w:t xml:space="preserve">.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(5)</w:t>
      </w:r>
      <w:r w:rsidRPr="007C10ED">
        <w:rPr>
          <w:szCs w:val="24"/>
          <w:lang w:eastAsia="fr-FR" w:bidi="fr-FR"/>
        </w:rPr>
        <w:tab/>
        <w:t>En décembre 2012, la Commission a transmis au Parlement européen et au Conseil un rapport sur l'évaluation intermédiaire du PC AAD. Cette évaluation avait été réalisée par un groupe d'experts. De l'avis général de ce groupe d'experts, le PC AAD avait bien progressé dans la réalisation de ses objectifs et donné d'excellents résultats et il devait être poursuivi au</w:t>
      </w:r>
      <w:r w:rsidRPr="007C10ED">
        <w:rPr>
          <w:szCs w:val="24"/>
          <w:lang w:eastAsia="fr-FR" w:bidi="fr-FR"/>
        </w:rPr>
        <w:noBreakHyphen/>
        <w:t xml:space="preserve">delà de la période actuelle de financement. Le groupe d'experts a toutefois relevé quelques insuffisances, en particulier la nécessité de faire participer plus activement les utilisateurs aux projets </w:t>
      </w:r>
      <w:r w:rsidRPr="007C10ED">
        <w:rPr>
          <w:b/>
          <w:i/>
          <w:szCs w:val="24"/>
          <w:lang w:eastAsia="fr-FR" w:bidi="fr-FR"/>
        </w:rPr>
        <w:t>à un stade aussi précoce que possible</w:t>
      </w:r>
      <w:r w:rsidRPr="007C10ED">
        <w:rPr>
          <w:szCs w:val="24"/>
          <w:lang w:eastAsia="fr-FR" w:bidi="fr-FR"/>
        </w:rPr>
        <w:t xml:space="preserve"> et d'améliorer encore les résultats opérationnels en termes de délai de signature de contrat et de délai de paiement.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(6)</w:t>
      </w:r>
      <w:r w:rsidRPr="007C10ED">
        <w:rPr>
          <w:szCs w:val="24"/>
          <w:lang w:eastAsia="fr-FR" w:bidi="fr-FR"/>
        </w:rPr>
        <w:tab/>
      </w:r>
      <w:r w:rsidRPr="007C10ED">
        <w:rPr>
          <w:b/>
          <w:i/>
          <w:color w:val="000000"/>
          <w:szCs w:val="24"/>
          <w:lang w:eastAsia="fr-FR" w:bidi="fr-FR"/>
        </w:rPr>
        <w:t>L'évaluation intermédiaire de 2010 et le processus de consultation de 2012 ont mis en lumière la diversité des instruments financiers, des règles d'éligibilité et des régimes de remboursement. Les États participants pourraient, dans le cadre de l'assemblée générale de l'assistance à l'autonomie à domicile, mener une réflexion à cet égard et promouvoir l'échange de bonnes pratiques.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(7)</w:t>
      </w:r>
      <w:r w:rsidRPr="007C10ED">
        <w:rPr>
          <w:szCs w:val="24"/>
          <w:lang w:eastAsia="fr-FR" w:bidi="fr-FR"/>
        </w:rPr>
        <w:tab/>
        <w:t>Dans sa communication du 12 octobre 2006 intitulée "L'avenir démographique de l'Europe, transformer un défi en opportunité", la Commission a souligné le fait que le vieillissement de la population est l'un des principaux défis auxquels sont confrontés tous les États membres et que le recours accru aux nouvelles technologies pourrait aider à maîtriser les dépenses, à accroître le bien</w:t>
      </w:r>
      <w:r w:rsidRPr="007C10ED">
        <w:rPr>
          <w:szCs w:val="24"/>
          <w:lang w:eastAsia="fr-FR" w:bidi="fr-FR"/>
        </w:rPr>
        <w:noBreakHyphen/>
        <w:t>être des personnes âgées et à promouvoir leur participation active à la société, ainsi qu'à accroître la compétitivité de l'économie de l'Union.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(8)</w:t>
      </w:r>
      <w:r w:rsidRPr="007C10ED">
        <w:rPr>
          <w:szCs w:val="24"/>
          <w:lang w:eastAsia="fr-FR" w:bidi="fr-FR"/>
        </w:rPr>
        <w:tab/>
        <w:t>Dans le cadre de son initiative phare "Une Union de l'innovation" de la stratégie Europe 2020, la Commission a indiqué que le vieillissement de la population était l'un des défis de société dans le cadre desquels les innovations décisives pouvaient jouer un rôle important et stimuler la compétitivité, permettre aux entreprises européennes d'être à la pointe du développement des nouvelles technologies, de développer leurs activités et de s'imposer au niveau mondial sur les nouveaux marchés en expansion, améliorer la qualité et l'efficacité des services publics et contribuer ainsi à créer de nombreux emplois nouveaux de qualité.</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(9)</w:t>
      </w:r>
      <w:r w:rsidRPr="007C10ED">
        <w:rPr>
          <w:szCs w:val="24"/>
          <w:lang w:eastAsia="fr-FR" w:bidi="fr-FR"/>
        </w:rPr>
        <w:tab/>
      </w:r>
      <w:r w:rsidRPr="007C10ED">
        <w:rPr>
          <w:b/>
          <w:i/>
          <w:color w:val="000000"/>
          <w:szCs w:val="24"/>
          <w:lang w:eastAsia="fr-FR" w:bidi="fr-FR"/>
        </w:rPr>
        <w:t>Dans l'ensemble de l'Union, près de 20 millions de personnes occupent des "emplois en blouse blanche" dans le secteur de la santé et des services sociaux, un chiffre qui devrait augmenter au cours des prochaines années en raison du vieillissement de la population. La formation et l'apprentissage tout au long de la vie dans ce secteur sensible devraient être une priorité essentielle. Il convient, dès lors, d'évaluer plus précisément les besoins en ce qui concerne les emplois en blouse blanche et les investissements dans des compétences modernes, comme l'utilisation des technologies de l'information.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(10)</w:t>
      </w:r>
      <w:r w:rsidRPr="007C10ED">
        <w:rPr>
          <w:szCs w:val="24"/>
          <w:lang w:eastAsia="fr-FR" w:bidi="fr-FR"/>
        </w:rPr>
        <w:tab/>
        <w:t>Dans sa communication du 19 mai 2010 intitulée "Une stratégie numérique pour l'Europe", la Commission a proposé de renforcer le PC AAD afin de contribuer à relever les défis du vieillissement de la population.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(11)</w:t>
      </w:r>
      <w:r w:rsidRPr="007C10ED">
        <w:rPr>
          <w:szCs w:val="24"/>
          <w:lang w:eastAsia="fr-FR" w:bidi="fr-FR"/>
        </w:rPr>
        <w:tab/>
        <w:t>Dans sa communication du 29 février 2012 intitulée "Concrétiser le plan de mise en œuvre stratégique du partenariat européen d'innovation pour un vieillissement actif et en bonne santé", la Commission a proposé de prendre en compte les priorités concernées du plan de mise en œuvre stratégique dans les futurs programmes de travail et instruments en matière de recherche et d'innovation qui font partie d'Horizon 2020. La Commission a aussi proposé de prendre en compte les contributions qui peuvent être apportées par le PC AAD au partenariat européen d'innovation pour un vieillissement actif et en bonne santé.</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(12)</w:t>
      </w:r>
      <w:r w:rsidRPr="007C10ED">
        <w:rPr>
          <w:szCs w:val="24"/>
          <w:lang w:eastAsia="fr-FR" w:bidi="fr-FR"/>
        </w:rPr>
        <w:tab/>
      </w:r>
      <w:r w:rsidRPr="007C10ED">
        <w:rPr>
          <w:b/>
          <w:i/>
          <w:szCs w:val="24"/>
          <w:lang w:eastAsia="fr-FR" w:bidi="fr-FR"/>
        </w:rPr>
        <w:t>Des</w:t>
      </w:r>
      <w:r w:rsidRPr="007C10ED">
        <w:rPr>
          <w:szCs w:val="24"/>
          <w:lang w:eastAsia="fr-FR" w:bidi="fr-FR"/>
        </w:rPr>
        <w:t xml:space="preserve"> solutions </w:t>
      </w:r>
      <w:r w:rsidRPr="007C10ED">
        <w:rPr>
          <w:b/>
          <w:i/>
          <w:szCs w:val="24"/>
          <w:lang w:eastAsia="fr-FR" w:bidi="fr-FR"/>
        </w:rPr>
        <w:t>innovantes basées sur</w:t>
      </w:r>
      <w:r w:rsidRPr="007C10ED">
        <w:rPr>
          <w:szCs w:val="24"/>
          <w:lang w:eastAsia="fr-FR" w:bidi="fr-FR"/>
        </w:rPr>
        <w:t xml:space="preserve"> les </w:t>
      </w:r>
      <w:r w:rsidRPr="007C10ED">
        <w:rPr>
          <w:b/>
          <w:bCs/>
          <w:i/>
          <w:iCs/>
          <w:szCs w:val="24"/>
          <w:lang w:eastAsia="fr-FR" w:bidi="fr-FR"/>
        </w:rPr>
        <w:t>technologies de l'information et de la communication</w:t>
      </w:r>
      <w:r w:rsidRPr="007C10ED">
        <w:rPr>
          <w:szCs w:val="24"/>
          <w:lang w:eastAsia="fr-FR" w:bidi="fr-FR"/>
        </w:rPr>
        <w:t xml:space="preserve"> (TIC) devraient jouer un rôle important dans la réalisation des objectifs fixés dans le cadre du partenariat européen d'innovation pour un vieillissement actif et en bonne santé, institué au titre de l'Union de l'innovation, à savoir gagner deux années de vie en bonne santé d'ici à 2020 et améliorer la qualité de vie des citoyens et l'efficacité des systèmes de soins de l'Union. Son plan de mise en œuvre stratégique fixe des priorités pour accélérer et intensifier l'innovation en matière de vieillissement actif et en bonne santé dans toute l'Union, et ce dans trois domaines: la prévention des maladies et la promotion de la santé, les soins et traitements, et l'autonomie et l'inclusion sociale.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szCs w:val="24"/>
          <w:lang w:eastAsia="fr-FR" w:bidi="fr-FR"/>
        </w:rPr>
        <w:t>(13)</w:t>
      </w:r>
      <w:r w:rsidRPr="007C10ED">
        <w:rPr>
          <w:szCs w:val="24"/>
          <w:lang w:eastAsia="fr-FR" w:bidi="fr-FR"/>
        </w:rPr>
        <w:tab/>
      </w:r>
      <w:r w:rsidRPr="007C10ED">
        <w:rPr>
          <w:b/>
          <w:i/>
          <w:color w:val="000000"/>
          <w:szCs w:val="24"/>
          <w:lang w:eastAsia="fr-FR" w:bidi="fr-FR"/>
        </w:rPr>
        <w:t>Étant donné que les systèmes TIC traitent un volume important de données et de profils à caractère personnel et agissent en communication en temps réel, comportant ainsi un risque élevé de violation de la sécurité des données, les aspects relatifs à la protection des données devraient être pris en compte. En outre, le droit à la vie privée devrait être respecté.</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(14)</w:t>
      </w:r>
      <w:r w:rsidRPr="007C10ED">
        <w:rPr>
          <w:szCs w:val="24"/>
          <w:lang w:eastAsia="fr-FR" w:bidi="fr-FR"/>
        </w:rPr>
        <w:tab/>
        <w:t>Le programme de recherche et développement sur l'assistance à la vie active (ci</w:t>
      </w:r>
      <w:r w:rsidRPr="007C10ED">
        <w:rPr>
          <w:szCs w:val="24"/>
          <w:lang w:eastAsia="fr-FR" w:bidi="fr-FR"/>
        </w:rPr>
        <w:noBreakHyphen/>
        <w:t xml:space="preserve">après dénommé "programme AVA") devrait s'appuyer sur les réalisations du programme précédent et pallier ses insuffisances en encourageant une participation </w:t>
      </w:r>
      <w:r w:rsidRPr="007C10ED">
        <w:rPr>
          <w:b/>
          <w:i/>
          <w:szCs w:val="24"/>
          <w:lang w:eastAsia="fr-FR" w:bidi="fr-FR"/>
        </w:rPr>
        <w:t>suffisante</w:t>
      </w:r>
      <w:r w:rsidRPr="007C10ED">
        <w:rPr>
          <w:szCs w:val="24"/>
          <w:lang w:eastAsia="fr-FR" w:bidi="fr-FR"/>
        </w:rPr>
        <w:t xml:space="preserve"> des utilisateurs aux projets</w:t>
      </w:r>
      <w:r w:rsidRPr="007C10ED">
        <w:rPr>
          <w:b/>
          <w:i/>
          <w:color w:val="000000"/>
          <w:szCs w:val="24"/>
          <w:lang w:eastAsia="fr-FR" w:bidi="fr-FR"/>
        </w:rPr>
        <w:t>, dès la phase initiale, afin de faire en sorte que les solutions élaborées soient acceptables et répondent à des besoins spécifiques des utilisateurs,</w:t>
      </w:r>
      <w:r w:rsidRPr="007C10ED">
        <w:rPr>
          <w:szCs w:val="24"/>
          <w:lang w:eastAsia="fr-FR" w:bidi="fr-FR"/>
        </w:rPr>
        <w:t xml:space="preserve"> et en veillant à une meilleure mise en œuvre du programme AVA.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b/>
          <w:i/>
          <w:color w:val="000000"/>
          <w:szCs w:val="24"/>
          <w:lang w:eastAsia="fr-FR" w:bidi="fr-FR"/>
        </w:rPr>
        <w:t>(15)</w:t>
      </w:r>
      <w:r w:rsidRPr="007C10ED">
        <w:rPr>
          <w:szCs w:val="24"/>
          <w:lang w:eastAsia="fr-FR" w:bidi="fr-FR"/>
        </w:rPr>
        <w:tab/>
      </w:r>
      <w:r w:rsidRPr="007C10ED">
        <w:rPr>
          <w:b/>
          <w:i/>
          <w:color w:val="000000"/>
          <w:szCs w:val="24"/>
          <w:lang w:eastAsia="fr-FR" w:bidi="fr-FR"/>
        </w:rPr>
        <w:t>La mise en œuvre du programme AVA devrait prendre en considération une définition large de l'innovation englobant des aspects liés à l'organisation, à l'entreprise, à la technologie, à la société et à l'environnement. Ce programme devrait assurer une approche pluridisciplinaire et l'intégration des sciences sociales et humaines dans le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(16)</w:t>
      </w:r>
      <w:r w:rsidRPr="007C10ED">
        <w:rPr>
          <w:szCs w:val="24"/>
          <w:lang w:eastAsia="fr-FR" w:bidi="fr-FR"/>
        </w:rPr>
        <w:tab/>
      </w:r>
      <w:r w:rsidRPr="007C10ED">
        <w:rPr>
          <w:b/>
          <w:i/>
          <w:color w:val="000000"/>
          <w:szCs w:val="24"/>
          <w:lang w:eastAsia="fr-FR" w:bidi="fr-FR"/>
        </w:rPr>
        <w:t>Les activités menées au titre du programme AVA devraient être conformes aux objectifs et aux priorités en matière de recherche et d'innovation d'Horizon 2020 ainsi qu'aux conditions et principes généraux prévus à l'article 26 du règlement (UE) n° 1291/2013.</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(17)</w:t>
      </w:r>
      <w:r w:rsidRPr="007C10ED">
        <w:rPr>
          <w:szCs w:val="24"/>
          <w:lang w:eastAsia="fr-FR" w:bidi="fr-FR"/>
        </w:rPr>
        <w:tab/>
        <w:t>Un plafond devrait être fixé concernant la participation financière de l'Union au programme AVA pour la durée d'Horizon 2020. La participation financière de l'Union au programme AVA ne devrait pas dépasser la contribution financière des États participants pour la durée d'Horizon 2020 afin d'obtenir un effet de levier important et de faire en sorte que les États participants contribuent activement à la réalisation des objectifs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b/>
          <w:i/>
          <w:szCs w:val="24"/>
          <w:lang w:eastAsia="fr-FR" w:bidi="fr-FR"/>
        </w:rPr>
        <w:t>(18)</w:t>
      </w:r>
      <w:r w:rsidRPr="007C10ED">
        <w:rPr>
          <w:szCs w:val="24"/>
          <w:lang w:eastAsia="fr-FR" w:bidi="fr-FR"/>
        </w:rPr>
        <w:tab/>
      </w:r>
      <w:r w:rsidRPr="007C10ED">
        <w:rPr>
          <w:b/>
          <w:i/>
          <w:color w:val="000000"/>
          <w:szCs w:val="24"/>
          <w:lang w:eastAsia="fr-FR" w:bidi="fr-FR"/>
        </w:rPr>
        <w:t>Afin de tenir compte de la durée d'Horizon 2020, les appels à propositions au titre du programme AVA devraient être lancés d'ici au 31 décembre 2020 au plus tard. Dans des cas dûment justifiés, les appels à propositions peuvent être lancés d'ici au 31 décembre 2021 au plus tard.</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(19)</w:t>
      </w:r>
      <w:r w:rsidRPr="007C10ED">
        <w:rPr>
          <w:szCs w:val="24"/>
          <w:lang w:eastAsia="fr-FR" w:bidi="fr-FR"/>
        </w:rPr>
        <w:tab/>
        <w:t>Conformément aux objectifs du règlement (UE) n° </w:t>
      </w:r>
      <w:r w:rsidRPr="007C10ED">
        <w:rPr>
          <w:b/>
          <w:i/>
          <w:color w:val="000000"/>
          <w:szCs w:val="24"/>
          <w:lang w:eastAsia="fr-FR" w:bidi="fr-FR"/>
        </w:rPr>
        <w:t>1291</w:t>
      </w:r>
      <w:r w:rsidRPr="007C10ED">
        <w:rPr>
          <w:szCs w:val="24"/>
          <w:lang w:eastAsia="fr-FR" w:bidi="fr-FR"/>
        </w:rPr>
        <w:t xml:space="preserve">/2013, tout État membre et tout pays associé à Horizon 2020 devrait avoir le droit de participer au programme AVA </w:t>
      </w:r>
      <w:r w:rsidRPr="007C10ED">
        <w:rPr>
          <w:b/>
          <w:i/>
          <w:szCs w:val="24"/>
          <w:lang w:eastAsia="fr-FR" w:bidi="fr-FR"/>
        </w:rPr>
        <w:t>au moment</w:t>
      </w:r>
      <w:r w:rsidRPr="007C10ED">
        <w:rPr>
          <w:b/>
          <w:i/>
          <w:color w:val="000000"/>
          <w:szCs w:val="24"/>
          <w:lang w:eastAsia="fr-FR" w:bidi="fr-FR"/>
        </w:rPr>
        <w:t xml:space="preserve"> approprié</w:t>
      </w:r>
      <w:r w:rsidRPr="007C10ED">
        <w:rPr>
          <w:szCs w:val="24"/>
          <w:lang w:eastAsia="fr-FR" w:bidi="fr-FR"/>
        </w:rPr>
        <w:t xml:space="preserve">.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(20)</w:t>
      </w:r>
      <w:r w:rsidRPr="007C10ED">
        <w:rPr>
          <w:szCs w:val="24"/>
          <w:lang w:eastAsia="fr-FR" w:bidi="fr-FR"/>
        </w:rPr>
        <w:tab/>
        <w:t>Afin de faire en sorte que les États participants contribuent à hauteur de l'engagement financier de l'Union, la contribution financière de l'Union devrait être subordonnée à un engagement formel de la part des États participants avant le lancement du programme AVA et au respect de cet engagement. La contribution des États participants au programme AVA devrait couvrir les frais administratifs supportés au niveau national pour assurer le bon déroulement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(21)</w:t>
      </w:r>
      <w:r w:rsidRPr="007C10ED">
        <w:rPr>
          <w:szCs w:val="24"/>
          <w:lang w:eastAsia="fr-FR" w:bidi="fr-FR"/>
        </w:rPr>
        <w:tab/>
        <w:t>La mise en œuvre conjointe du programme AVA exige une structure d'exécution spécifique. Les États participants sont convenus de la structure d'exécution pour le programme AVA et ont institué en 2007 l'association « Assistance à l'autonomie à domicile » aisbl, une association internationale sans but lucratif de droit belge (ci</w:t>
      </w:r>
      <w:r w:rsidRPr="007C10ED">
        <w:rPr>
          <w:szCs w:val="24"/>
          <w:lang w:eastAsia="fr-FR" w:bidi="fr-FR"/>
        </w:rPr>
        <w:noBreakHyphen/>
        <w:t>après dénommée "AALA"). Étant donné que, d'après le rapport d'évaluation intermédiaire, la structure de gestion actuelle du PC AAD s'est révélée efficace et de bonne qualité, l'AALA devrait servir de structure d'exécution et assumer le rôle d'organe d'attribution et de suivi pour le programme AVA. L'AALA devrait gérer la contribution financière de l'Union et assurer une mise en œuvre efficace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(22)</w:t>
      </w:r>
      <w:r w:rsidRPr="007C10ED">
        <w:rPr>
          <w:szCs w:val="24"/>
          <w:lang w:eastAsia="fr-FR" w:bidi="fr-FR"/>
        </w:rPr>
        <w:tab/>
        <w:t>Afin d'atteindre les objectifs du programme AVA, l'AALA devrait apporter un soutien financier sous la forme principalement de subventions versées aux participants à des actions sélectionnées par l'AALA. Ces actions devraient être sélectionnées à la suite d'appels à propositions sous la responsabilité de l'AALA, assistée par des experts externes indépendants. Le classement devrait être contraignant en ce qui concerne la sélection des propositions et l'attribution des fonds provenant de la contribution financière de l'Union et des budgets nationaux aux projets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(23)</w:t>
      </w:r>
      <w:r w:rsidRPr="007C10ED">
        <w:rPr>
          <w:szCs w:val="24"/>
          <w:lang w:eastAsia="fr-FR" w:bidi="fr-FR"/>
        </w:rPr>
        <w:tab/>
        <w:t>La contribution financière de l'Union devrait être gérée conformément au principe de bonne gestion financière et aux règles relatives à la gestion indirecte prévues dans le règlement (UE, Euratom) n° 966/2012 du Parlement européen et du Conseil</w:t>
      </w:r>
      <w:r w:rsidRPr="007C10ED">
        <w:rPr>
          <w:b/>
          <w:szCs w:val="24"/>
          <w:vertAlign w:val="superscript"/>
          <w:lang w:eastAsia="fr-FR" w:bidi="fr-FR"/>
        </w:rPr>
        <w:footnoteReference w:id="18"/>
      </w:r>
      <w:r w:rsidRPr="007C10ED">
        <w:rPr>
          <w:szCs w:val="24"/>
          <w:lang w:eastAsia="fr-FR" w:bidi="fr-FR"/>
        </w:rPr>
        <w:t xml:space="preserve"> et dans le règlement délégué (UE) n° 1268/2012 de la Commission</w:t>
      </w:r>
      <w:r w:rsidRPr="007C10ED">
        <w:rPr>
          <w:b/>
          <w:szCs w:val="24"/>
          <w:vertAlign w:val="superscript"/>
          <w:lang w:eastAsia="fr-FR" w:bidi="fr-FR"/>
        </w:rPr>
        <w:footnoteReference w:id="19"/>
      </w:r>
      <w:r w:rsidRPr="007C10ED">
        <w:rPr>
          <w:szCs w:val="24"/>
          <w:lang w:eastAsia="fr-FR" w:bidi="fr-FR"/>
        </w:rPr>
        <w: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(24)</w:t>
      </w:r>
      <w:r w:rsidRPr="007C10ED">
        <w:rPr>
          <w:szCs w:val="24"/>
          <w:lang w:eastAsia="fr-FR" w:bidi="fr-FR"/>
        </w:rPr>
        <w:tab/>
        <w:t>Afin de protéger les intérêts financiers de l'Union, la Commission devrait avoir le droit</w:t>
      </w:r>
      <w:r w:rsidRPr="007C10ED">
        <w:rPr>
          <w:b/>
          <w:i/>
          <w:szCs w:val="24"/>
          <w:lang w:eastAsia="fr-FR" w:bidi="fr-FR"/>
        </w:rPr>
        <w:t>, par des mesures proportionnées,</w:t>
      </w:r>
      <w:r w:rsidRPr="007C10ED">
        <w:rPr>
          <w:szCs w:val="24"/>
          <w:lang w:eastAsia="fr-FR" w:bidi="fr-FR"/>
        </w:rPr>
        <w:t xml:space="preserve"> de réduire la contribution financière de l'Union, de la suspendre ou d'y mettre fin, lorsque le programme AVA est mis en œuvre de façon inadéquate, partielle ou tardive ou que les États participants ne contribuent pas ou contribuent partiellement ou tardivement au financement du programme AVA. Ces droits devraient être prévus dans la convention de délégation à conclure entre l'Union et l'AALA.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b/>
          <w:i/>
          <w:color w:val="000000"/>
          <w:szCs w:val="24"/>
          <w:lang w:eastAsia="fr-FR" w:bidi="fr-FR"/>
        </w:rPr>
        <w:t>(25)</w:t>
      </w:r>
      <w:r w:rsidRPr="007C10ED">
        <w:rPr>
          <w:szCs w:val="24"/>
          <w:lang w:eastAsia="fr-FR" w:bidi="fr-FR"/>
        </w:rPr>
        <w:tab/>
      </w:r>
      <w:r w:rsidRPr="007C10ED">
        <w:rPr>
          <w:b/>
          <w:i/>
          <w:color w:val="000000"/>
          <w:szCs w:val="24"/>
          <w:lang w:eastAsia="fr-FR" w:bidi="fr-FR"/>
        </w:rPr>
        <w:t>Dans un souci de simplification, il convient de réduire les charges administratives pour toutes les parties. Il convient d'éviter les doubles audits et les exigences disproportionnées en matière de documents et de rapports. Lorsque des audits sont réalisés, il y a lieu de tenir compte des particularités des programmes nationaux, selon le cas.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(26)</w:t>
      </w:r>
      <w:r w:rsidRPr="007C10ED">
        <w:rPr>
          <w:szCs w:val="24"/>
          <w:lang w:eastAsia="fr-FR" w:bidi="fr-FR"/>
        </w:rPr>
        <w:tab/>
        <w:t xml:space="preserve">La participation aux actions indirectes financées par le programme AVA est soumise au règlement (UE) n° </w:t>
      </w:r>
      <w:r w:rsidRPr="007C10ED">
        <w:rPr>
          <w:b/>
          <w:i/>
          <w:szCs w:val="24"/>
          <w:lang w:eastAsia="fr-FR" w:bidi="fr-FR"/>
        </w:rPr>
        <w:t>1290</w:t>
      </w:r>
      <w:r w:rsidRPr="007C10ED">
        <w:rPr>
          <w:szCs w:val="24"/>
          <w:lang w:eastAsia="fr-FR" w:bidi="fr-FR"/>
        </w:rPr>
        <w:t>/2013 du Parlement européen et du Conseil</w:t>
      </w:r>
      <w:r w:rsidRPr="007C10ED">
        <w:rPr>
          <w:b/>
          <w:szCs w:val="24"/>
          <w:vertAlign w:val="superscript"/>
          <w:lang w:eastAsia="fr-FR" w:bidi="fr-FR"/>
        </w:rPr>
        <w:footnoteReference w:id="20"/>
      </w:r>
      <w:r w:rsidRPr="007C10ED">
        <w:rPr>
          <w:szCs w:val="24"/>
          <w:lang w:eastAsia="fr-FR" w:bidi="fr-FR"/>
        </w:rPr>
        <w:t>. Toutefois, en raison des besoins opérationnels spécifiques du programme AVA, il est nécessaire de prévoir des dérogations à ce règlement conformément à l'article 1</w:t>
      </w:r>
      <w:r w:rsidRPr="007C10ED">
        <w:rPr>
          <w:szCs w:val="24"/>
          <w:vertAlign w:val="superscript"/>
          <w:lang w:eastAsia="fr-FR" w:bidi="fr-FR"/>
        </w:rPr>
        <w:t>er</w:t>
      </w:r>
      <w:r w:rsidRPr="007C10ED">
        <w:rPr>
          <w:szCs w:val="24"/>
          <w:lang w:eastAsia="fr-FR" w:bidi="fr-FR"/>
        </w:rPr>
        <w:t xml:space="preserve">, paragraphe 3, dudit règlement.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(27)</w:t>
      </w:r>
      <w:r w:rsidRPr="007C10ED">
        <w:rPr>
          <w:szCs w:val="24"/>
          <w:lang w:eastAsia="fr-FR" w:bidi="fr-FR"/>
        </w:rPr>
        <w:tab/>
      </w:r>
      <w:r w:rsidRPr="007C10ED">
        <w:rPr>
          <w:b/>
          <w:i/>
          <w:color w:val="000000"/>
          <w:szCs w:val="24"/>
          <w:lang w:eastAsia="fr-FR" w:bidi="fr-FR"/>
        </w:rPr>
        <w:t>Il convient également de publier les appels à propositions lancés par l'AALA sur le portail unique des participants ainsi que par d'autres moyens de diffusion électroniques dans le cadre d'Horizon 2020 gérés par la Commission.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(28)</w:t>
      </w:r>
      <w:r w:rsidRPr="007C10ED">
        <w:rPr>
          <w:szCs w:val="24"/>
          <w:lang w:eastAsia="fr-FR" w:bidi="fr-FR"/>
        </w:rPr>
        <w:tab/>
        <w:t>Il est nécessaire de prévoir des dérogations spécifiques au règlement (UE) n° </w:t>
      </w:r>
      <w:r w:rsidRPr="007C10ED">
        <w:rPr>
          <w:b/>
          <w:i/>
          <w:color w:val="000000"/>
          <w:szCs w:val="24"/>
          <w:lang w:eastAsia="fr-FR" w:bidi="fr-FR"/>
        </w:rPr>
        <w:t>1290</w:t>
      </w:r>
      <w:r w:rsidRPr="007C10ED">
        <w:rPr>
          <w:szCs w:val="24"/>
          <w:lang w:eastAsia="fr-FR" w:bidi="fr-FR"/>
        </w:rPr>
        <w:t>/2013</w:t>
      </w:r>
      <w:r w:rsidRPr="007C10ED">
        <w:rPr>
          <w:color w:val="000000"/>
          <w:szCs w:val="24"/>
          <w:lang w:eastAsia="fr-FR" w:bidi="fr-FR"/>
        </w:rPr>
        <w:t xml:space="preserve"> ▌</w:t>
      </w:r>
      <w:r w:rsidRPr="007C10ED">
        <w:rPr>
          <w:szCs w:val="24"/>
          <w:lang w:eastAsia="fr-FR" w:bidi="fr-FR"/>
        </w:rPr>
        <w:t xml:space="preserve">car le programme AVA est conçu comme un programme </w:t>
      </w:r>
      <w:r w:rsidRPr="007C10ED">
        <w:rPr>
          <w:b/>
          <w:i/>
          <w:color w:val="000000"/>
          <w:szCs w:val="24"/>
          <w:lang w:eastAsia="fr-FR" w:bidi="fr-FR"/>
        </w:rPr>
        <w:t>de recherche et</w:t>
      </w:r>
      <w:r w:rsidRPr="007C10ED">
        <w:rPr>
          <w:szCs w:val="24"/>
          <w:lang w:eastAsia="fr-FR" w:bidi="fr-FR"/>
        </w:rPr>
        <w:t xml:space="preserve"> d'innovation </w:t>
      </w:r>
      <w:r w:rsidRPr="007C10ED">
        <w:rPr>
          <w:b/>
          <w:i/>
          <w:color w:val="000000"/>
          <w:szCs w:val="24"/>
          <w:lang w:eastAsia="fr-FR" w:bidi="fr-FR"/>
        </w:rPr>
        <w:t>axé sur</w:t>
      </w:r>
      <w:r w:rsidRPr="007C10ED">
        <w:rPr>
          <w:szCs w:val="24"/>
          <w:lang w:eastAsia="fr-FR" w:bidi="fr-FR"/>
        </w:rPr>
        <w:t xml:space="preserve"> le marché, qui centralise plusieurs canaux de financement nationaux différents (comme les programmes de financement dans les domaines de la recherche et de l'innovation, de la santé et de l'industrie). Ces programmes nationaux ont, par nature, des règles de participation différentes qu'il n'est pas possible d'aligner parfaitement sur celles prévues par le règlement (UE) n° </w:t>
      </w:r>
      <w:r w:rsidRPr="007C10ED">
        <w:rPr>
          <w:b/>
          <w:i/>
          <w:color w:val="000000"/>
          <w:szCs w:val="24"/>
          <w:lang w:eastAsia="fr-FR" w:bidi="fr-FR"/>
        </w:rPr>
        <w:t>1290/2013</w:t>
      </w:r>
      <w:r w:rsidRPr="007C10ED">
        <w:rPr>
          <w:szCs w:val="24"/>
          <w:lang w:eastAsia="fr-FR" w:bidi="fr-FR"/>
        </w:rPr>
        <w:t xml:space="preserve">. En outre, le programme AVA cible en particulier les petites et moyennes entreprises et les associations d'utilisateurs qui ne participent habituellement pas aux activités de recherche et d'innovation de l'Union. Afin de faciliter la participation de ces entreprises et associations, la contribution financière de l'Union est fournie suivant les règles bien connues de leurs programmes nationaux de financement et exécutée sous la forme d'une subvention unique combinant les fonds de l'Union et les fonds nationaux correspondants.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(29)</w:t>
      </w:r>
      <w:r w:rsidRPr="007C10ED">
        <w:rPr>
          <w:szCs w:val="24"/>
          <w:lang w:eastAsia="fr-FR" w:bidi="fr-FR"/>
        </w:rPr>
        <w:tab/>
        <w:t>Les intérêts financiers de l'Union devraient être protégés au moyen de mesures proportionnées, tout au long du cycle de la dépense, y compris par la prévention et la détection des irrégularités, ainsi que les enquêtes en la matière, par le recouvrement des fonds perdus, indûment versés ou mal employés et, s'il y a lieu, par l'application de sanctions administratives et financières conformément au règlement (UE, Euratom) n° 966/2012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(30)</w:t>
      </w:r>
      <w:r w:rsidRPr="007C10ED">
        <w:rPr>
          <w:szCs w:val="24"/>
          <w:lang w:eastAsia="fr-FR" w:bidi="fr-FR"/>
        </w:rPr>
        <w:tab/>
        <w:t xml:space="preserve">La Commission devrait </w:t>
      </w:r>
      <w:r w:rsidRPr="007C10ED">
        <w:rPr>
          <w:b/>
          <w:i/>
          <w:szCs w:val="24"/>
          <w:lang w:eastAsia="fr-FR" w:bidi="fr-FR"/>
        </w:rPr>
        <w:t>procéder</w:t>
      </w:r>
      <w:r w:rsidRPr="007C10ED">
        <w:rPr>
          <w:b/>
          <w:i/>
          <w:color w:val="000000"/>
          <w:szCs w:val="24"/>
          <w:lang w:eastAsia="fr-FR" w:bidi="fr-FR"/>
        </w:rPr>
        <w:t>, avec l'assistance d'experts indépendants,</w:t>
      </w:r>
      <w:r w:rsidRPr="007C10ED">
        <w:rPr>
          <w:szCs w:val="24"/>
          <w:lang w:eastAsia="fr-FR" w:bidi="fr-FR"/>
        </w:rPr>
        <w:t xml:space="preserve"> à une évaluation intermédiaire consistant à apprécier, en particulier, la qualité et l'efficacité du programme AVA et les progrès accomplis par rapport aux objectifs fixés, procéder à une évaluation finale et établir un rapport sur ces évaluations.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(31)</w:t>
      </w:r>
      <w:r w:rsidRPr="007C10ED">
        <w:rPr>
          <w:szCs w:val="24"/>
          <w:lang w:eastAsia="fr-FR" w:bidi="fr-FR"/>
        </w:rPr>
        <w:tab/>
        <w:t>L'évaluation devrait reposer sur des informations précises et à jour. À la demande de la Commission, l'AALA et les États participants devraient fournir toutes les informations que la Commission doit inclure dans les rapports d'évaluation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(32)</w:t>
      </w:r>
      <w:r w:rsidRPr="007C10ED">
        <w:rPr>
          <w:szCs w:val="24"/>
          <w:lang w:eastAsia="fr-FR" w:bidi="fr-FR"/>
        </w:rPr>
        <w:tab/>
      </w:r>
      <w:r w:rsidRPr="007C10ED">
        <w:rPr>
          <w:b/>
          <w:i/>
          <w:color w:val="000000"/>
          <w:szCs w:val="24"/>
          <w:lang w:eastAsia="fr-FR" w:bidi="fr-FR"/>
        </w:rPr>
        <w:t>Les actions envisagées dans le cadre du programme AVA devraient contribuer à renforcer les systèmes européens de santé publique et de soins, dès lors qu'ils constituent des moyens essentiels de préserver le bien</w:t>
      </w:r>
      <w:r w:rsidRPr="007C10ED">
        <w:rPr>
          <w:b/>
          <w:i/>
          <w:color w:val="000000"/>
          <w:szCs w:val="24"/>
          <w:lang w:eastAsia="fr-FR" w:bidi="fr-FR"/>
        </w:rPr>
        <w:noBreakHyphen/>
        <w:t>être social et réduire les inégalités en matière de bien-être entre régions et catégories de la population, lesquelles augmentent de manière préoccupante en raison de la crise économique et sociale actuelle.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(33)</w:t>
      </w:r>
      <w:r w:rsidRPr="007C10ED">
        <w:rPr>
          <w:szCs w:val="24"/>
          <w:lang w:eastAsia="fr-FR" w:bidi="fr-FR"/>
        </w:rPr>
        <w:tab/>
        <w:t>Le programme AVA devrait garantir la promotion effective de l'égalité entre les hommes et les femmes</w:t>
      </w:r>
      <w:r w:rsidRPr="007C10ED">
        <w:rPr>
          <w:b/>
          <w:i/>
          <w:szCs w:val="24"/>
          <w:lang w:eastAsia="fr-FR" w:bidi="fr-FR"/>
        </w:rPr>
        <w:t xml:space="preserve"> énoncée dans Horizon 2020</w:t>
      </w:r>
      <w:r w:rsidRPr="007C10ED">
        <w:rPr>
          <w:szCs w:val="24"/>
          <w:lang w:eastAsia="fr-FR" w:bidi="fr-FR"/>
        </w:rPr>
        <w:t>.</w:t>
      </w:r>
      <w:r w:rsidRPr="007C10ED">
        <w:rPr>
          <w:b/>
          <w:i/>
          <w:color w:val="000000"/>
          <w:szCs w:val="24"/>
          <w:lang w:eastAsia="fr-FR" w:bidi="fr-FR"/>
        </w:rPr>
        <w:t xml:space="preserve"> Il devrait également promouvoir l'égalité entre les hommes et les femmes et la pleine intégration de la dimension du genre dans le contenu de la recherche et de l'innovation. Une attention particulière devrait être accordée à l'équilibre entre les genres, compte tenu de la situation sur le terrain, dans les comités d'évaluation et dans des organismes tels que les groupes consultatifs et groupes d'experts. La dimension du genre devrait être correctement intégrée dans le contenu de la recherche et de l'innovation dans le cadre des stratégies, programmes et projets et faire l'objet d'un suivi à tous les stades du cycle de la recherche.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b/>
          <w:i/>
          <w:color w:val="000000"/>
          <w:szCs w:val="24"/>
          <w:lang w:eastAsia="fr-FR" w:bidi="fr-FR"/>
        </w:rPr>
        <w:t>(34)</w:t>
      </w:r>
      <w:r w:rsidRPr="007C10ED">
        <w:rPr>
          <w:szCs w:val="24"/>
          <w:lang w:eastAsia="fr-FR" w:bidi="fr-FR"/>
        </w:rPr>
        <w:tab/>
      </w:r>
      <w:r w:rsidRPr="007C10ED">
        <w:rPr>
          <w:b/>
          <w:i/>
          <w:color w:val="000000"/>
          <w:szCs w:val="24"/>
          <w:lang w:eastAsia="fr-FR" w:bidi="fr-FR"/>
        </w:rPr>
        <w:t>Le programme AVA devrait</w:t>
      </w:r>
      <w:r w:rsidRPr="007C10ED">
        <w:rPr>
          <w:szCs w:val="24"/>
          <w:lang w:eastAsia="fr-FR" w:bidi="fr-FR"/>
        </w:rPr>
        <w:t xml:space="preserve"> respecter les principes éthiques </w:t>
      </w:r>
      <w:r w:rsidRPr="007C10ED">
        <w:rPr>
          <w:b/>
          <w:i/>
          <w:color w:val="000000"/>
          <w:szCs w:val="24"/>
          <w:lang w:eastAsia="fr-FR" w:bidi="fr-FR"/>
        </w:rPr>
        <w:t xml:space="preserve">énoncés </w:t>
      </w:r>
      <w:r w:rsidRPr="007C10ED">
        <w:rPr>
          <w:szCs w:val="24"/>
          <w:lang w:eastAsia="fr-FR" w:bidi="fr-FR"/>
        </w:rPr>
        <w:t xml:space="preserve">dans Horizon 2020. </w:t>
      </w:r>
      <w:r w:rsidRPr="007C10ED">
        <w:rPr>
          <w:b/>
          <w:i/>
          <w:color w:val="000000"/>
          <w:szCs w:val="24"/>
          <w:lang w:eastAsia="fr-FR" w:bidi="fr-FR"/>
        </w:rPr>
        <w:t>Il convient d'accorder une attention particulière au principe de proportionnalité, au droit à la vie privée, à la protection des données à caractère personnel, à l'intégrité physique et mentale, à la non</w:t>
      </w:r>
      <w:r w:rsidRPr="007C10ED">
        <w:rPr>
          <w:b/>
          <w:i/>
          <w:color w:val="000000"/>
          <w:szCs w:val="24"/>
          <w:lang w:eastAsia="fr-FR" w:bidi="fr-FR"/>
        </w:rPr>
        <w:noBreakHyphen/>
        <w:t>discrimination et à la nécessité de garantir un niveau élevé de protection de la santé humaine.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(35)</w:t>
      </w:r>
      <w:r w:rsidRPr="007C10ED">
        <w:rPr>
          <w:szCs w:val="24"/>
          <w:lang w:eastAsia="fr-FR" w:bidi="fr-FR"/>
        </w:rPr>
        <w:tab/>
        <w:t>Étant donné que les États participants ont décidé de poursuivre le programme AVA, et que les objectifs de la présente décision, à savoir étayer et compléter directement les politiques de l'Union dans le domaine du vieillissement actif et en bonne santé, ne peuvent pas être atteints de manière suffisante par les seuls États membres mais peuvent, en raison des dimensions de l'action, l'être mieux au niveau de l'Union, celle</w:t>
      </w:r>
      <w:r w:rsidRPr="007C10ED">
        <w:rPr>
          <w:szCs w:val="24"/>
          <w:lang w:eastAsia="fr-FR" w:bidi="fr-FR"/>
        </w:rPr>
        <w:noBreakHyphen/>
        <w:t>ci peut prendre des mesures conformément au principe de subsidiarité consacré à l'article 5 du traité sur l'Union européenne. Conformément au principe de proportionnalité tel qu'énoncé audit article, la présente décision n'excède pas ce qui est nécessaire pour atteindre ces objectifs ▌,</w:t>
      </w:r>
    </w:p>
    <w:p w:rsidR="002022AB" w:rsidRPr="007C10ED" w:rsidRDefault="002022AB" w:rsidP="00075179">
      <w:pPr>
        <w:autoSpaceDE w:val="0"/>
        <w:autoSpaceDN w:val="0"/>
        <w:adjustRightInd w:val="0"/>
        <w:spacing w:before="120" w:after="120" w:line="360" w:lineRule="auto"/>
        <w:ind w:left="567" w:hanging="567"/>
        <w:rPr>
          <w:szCs w:val="24"/>
          <w:lang w:eastAsia="fr-FR" w:bidi="fr-FR"/>
        </w:rPr>
      </w:pPr>
      <w:r w:rsidRPr="007C10ED">
        <w:rPr>
          <w:szCs w:val="24"/>
          <w:lang w:eastAsia="fr-FR" w:bidi="fr-FR"/>
        </w:rPr>
        <w:t>ONT ADOPTÉ LA PRÉSENTE DÉCISION:</w:t>
      </w:r>
    </w:p>
    <w:p w:rsidR="002022AB" w:rsidRPr="007C10ED" w:rsidRDefault="002022AB" w:rsidP="00075179">
      <w:pPr>
        <w:autoSpaceDE w:val="0"/>
        <w:autoSpaceDN w:val="0"/>
        <w:adjustRightInd w:val="0"/>
        <w:spacing w:before="120" w:after="120" w:line="360" w:lineRule="auto"/>
        <w:jc w:val="center"/>
        <w:rPr>
          <w:i/>
          <w:iCs/>
          <w:szCs w:val="24"/>
          <w:lang w:eastAsia="fr-FR" w:bidi="fr-FR"/>
        </w:rPr>
      </w:pPr>
      <w:r w:rsidRPr="007C10ED">
        <w:rPr>
          <w:szCs w:val="24"/>
          <w:lang w:eastAsia="fr-FR" w:bidi="fr-FR"/>
        </w:rPr>
        <w:br w:type="page"/>
        <w:t xml:space="preserve">Article premier </w:t>
      </w:r>
      <w:r w:rsidRPr="007C10ED">
        <w:rPr>
          <w:szCs w:val="24"/>
          <w:lang w:eastAsia="fr-FR" w:bidi="fr-FR"/>
        </w:rPr>
        <w:br/>
        <w:t>Participation au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L'Union participe au programme de recherche et développement sur l'assistance à la vie active (ci</w:t>
      </w:r>
      <w:r w:rsidRPr="007C10ED">
        <w:rPr>
          <w:szCs w:val="24"/>
          <w:lang w:eastAsia="fr-FR" w:bidi="fr-FR"/>
        </w:rPr>
        <w:noBreakHyphen/>
        <w:t>après dénommé "programme AVA") entrepris conjointement par l'Autriche, la Belgique, Chypre, le Danemark, l'Espagne, la France, la Hongrie, l'Irlande, le Luxembourg, les Pays</w:t>
      </w:r>
      <w:r w:rsidRPr="007C10ED">
        <w:rPr>
          <w:szCs w:val="24"/>
          <w:lang w:eastAsia="fr-FR" w:bidi="fr-FR"/>
        </w:rPr>
        <w:noBreakHyphen/>
        <w:t>Bas, la Pologne, le Portugal, la Roumanie, le Royaume</w:t>
      </w:r>
      <w:r w:rsidRPr="007C10ED">
        <w:rPr>
          <w:szCs w:val="24"/>
          <w:lang w:eastAsia="fr-FR" w:bidi="fr-FR"/>
        </w:rPr>
        <w:noBreakHyphen/>
        <w:t>Uni, la Slovénie, la Suède et la Suisse (ci</w:t>
      </w:r>
      <w:r w:rsidRPr="007C10ED">
        <w:rPr>
          <w:szCs w:val="24"/>
          <w:lang w:eastAsia="fr-FR" w:bidi="fr-FR"/>
        </w:rPr>
        <w:noBreakHyphen/>
        <w:t>après dénommés "États participants"), conformément aux conditions prévues dans la présente décision.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 xml:space="preserve">Tout État membre autre que ceux énumérés au paragraphe 1 et tout autre pays associé à Horizon 2020 peut </w:t>
      </w:r>
      <w:r w:rsidRPr="007C10ED">
        <w:rPr>
          <w:b/>
          <w:i/>
          <w:color w:val="000000"/>
          <w:szCs w:val="24"/>
          <w:lang w:eastAsia="fr-FR" w:bidi="fr-FR"/>
        </w:rPr>
        <w:t>demander à</w:t>
      </w:r>
      <w:r w:rsidRPr="007C10ED">
        <w:rPr>
          <w:szCs w:val="24"/>
          <w:lang w:eastAsia="fr-FR" w:bidi="fr-FR"/>
        </w:rPr>
        <w:t xml:space="preserve"> prendre part au programme AVA, </w:t>
      </w:r>
      <w:r w:rsidRPr="007C10ED">
        <w:rPr>
          <w:b/>
          <w:i/>
          <w:color w:val="000000"/>
          <w:szCs w:val="24"/>
          <w:lang w:eastAsia="fr-FR" w:bidi="fr-FR"/>
        </w:rPr>
        <w:t xml:space="preserve">à tout moment, </w:t>
      </w:r>
      <w:r w:rsidRPr="007C10ED">
        <w:rPr>
          <w:szCs w:val="24"/>
          <w:lang w:eastAsia="fr-FR" w:bidi="fr-FR"/>
        </w:rPr>
        <w:t>à condition de satisfaire à la condition énoncée à l'article 3, paragraphe 1, point c), de la présente décision. S'il remplit la condition prévue à l'article 3, paragraphe 1, point c), il est considéré comme un État participant aux fins de la présente décision.</w:t>
      </w:r>
    </w:p>
    <w:p w:rsidR="002022AB" w:rsidRPr="007C10ED" w:rsidRDefault="002022AB" w:rsidP="00075179">
      <w:pPr>
        <w:autoSpaceDE w:val="0"/>
        <w:autoSpaceDN w:val="0"/>
        <w:adjustRightInd w:val="0"/>
        <w:spacing w:before="120" w:after="120" w:line="360" w:lineRule="auto"/>
        <w:jc w:val="center"/>
        <w:rPr>
          <w:i/>
          <w:iCs/>
          <w:szCs w:val="24"/>
          <w:lang w:eastAsia="fr-FR" w:bidi="fr-FR"/>
        </w:rPr>
      </w:pPr>
      <w:r w:rsidRPr="007C10ED">
        <w:rPr>
          <w:szCs w:val="24"/>
          <w:lang w:eastAsia="fr-FR" w:bidi="fr-FR"/>
        </w:rPr>
        <w:br w:type="page"/>
        <w:t xml:space="preserve">Article 2 </w:t>
      </w:r>
      <w:r w:rsidRPr="007C10ED">
        <w:rPr>
          <w:szCs w:val="24"/>
          <w:lang w:eastAsia="fr-FR" w:bidi="fr-FR"/>
        </w:rPr>
        <w:br/>
        <w:t>Contribution financière de l'Union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 xml:space="preserve">La contribution financière de l'Union au programme AVA destinée à couvrir les frais administratifs et de fonctionnement s'élève à maximum </w:t>
      </w:r>
      <w:r w:rsidRPr="007C10ED">
        <w:rPr>
          <w:b/>
          <w:i/>
          <w:color w:val="000000"/>
          <w:szCs w:val="24"/>
          <w:lang w:eastAsia="fr-FR" w:bidi="fr-FR"/>
        </w:rPr>
        <w:t>175 000 000 EUR</w:t>
      </w:r>
      <w:r w:rsidRPr="007C10ED">
        <w:rPr>
          <w:szCs w:val="24"/>
          <w:lang w:eastAsia="fr-FR" w:bidi="fr-FR"/>
        </w:rPr>
        <w:t xml:space="preserve">. La contribution financière de l'Union est prélevée sur les crédits du budget général de l'Union alloués aux sections concernées du programme spécifique d'exécution d'Horizon 2020, établi par la décision </w:t>
      </w:r>
      <w:r w:rsidRPr="007C10ED">
        <w:rPr>
          <w:b/>
          <w:i/>
          <w:szCs w:val="24"/>
          <w:lang w:eastAsia="fr-FR" w:bidi="fr-FR"/>
        </w:rPr>
        <w:t>2013/</w:t>
      </w:r>
      <w:r w:rsidRPr="007C10ED">
        <w:rPr>
          <w:b/>
          <w:i/>
          <w:color w:val="000000"/>
          <w:szCs w:val="24"/>
          <w:lang w:eastAsia="fr-FR" w:bidi="fr-FR"/>
        </w:rPr>
        <w:t>743/</w:t>
      </w:r>
      <w:r w:rsidRPr="007C10ED">
        <w:rPr>
          <w:b/>
          <w:i/>
          <w:szCs w:val="24"/>
          <w:lang w:eastAsia="fr-FR" w:bidi="fr-FR"/>
        </w:rPr>
        <w:t>UE</w:t>
      </w:r>
      <w:r w:rsidRPr="007C10ED">
        <w:rPr>
          <w:szCs w:val="24"/>
          <w:lang w:eastAsia="fr-FR" w:bidi="fr-FR"/>
        </w:rPr>
        <w:t xml:space="preserve"> </w:t>
      </w:r>
      <w:r w:rsidRPr="007C10ED">
        <w:rPr>
          <w:b/>
          <w:i/>
          <w:szCs w:val="24"/>
          <w:lang w:eastAsia="fr-FR" w:bidi="fr-FR"/>
        </w:rPr>
        <w:t>du Conseil</w:t>
      </w:r>
      <w:r w:rsidRPr="007C10ED">
        <w:rPr>
          <w:i/>
          <w:szCs w:val="24"/>
          <w:vertAlign w:val="superscript"/>
          <w:lang w:eastAsia="fr-FR" w:bidi="fr-FR"/>
        </w:rPr>
        <w:footnoteReference w:id="21"/>
      </w:r>
      <w:r w:rsidRPr="007C10ED">
        <w:rPr>
          <w:szCs w:val="24"/>
          <w:lang w:eastAsia="fr-FR" w:bidi="fr-FR"/>
        </w:rPr>
        <w:t>, conformément à l'article 58, paragraphe 1, point c) vi), et aux articles 60 et 61 du règlement (UE, Euratom) n° 966/2012.</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L'engagement financier annuel de l'Union en faveur du programme AVA ne dépasse pas l'engagement financier annuel des États participants en faveur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w:t>
      </w:r>
      <w:r w:rsidRPr="007C10ED">
        <w:rPr>
          <w:szCs w:val="24"/>
          <w:lang w:eastAsia="fr-FR" w:bidi="fr-FR"/>
        </w:rPr>
        <w:tab/>
        <w:t>La contribution financière de l'Union visée au paragraphe 1 est utilisée jusqu'à hauteur de 6 % pour contribuer aux frais administratifs du programme AVA.</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br w:type="page"/>
        <w:t>Article 3</w:t>
      </w:r>
      <w:r w:rsidRPr="007C10ED">
        <w:rPr>
          <w:szCs w:val="24"/>
          <w:lang w:eastAsia="fr-FR" w:bidi="fr-FR"/>
        </w:rPr>
        <w:br/>
        <w:t>Conditions applicables à la contribution financière de l'Union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La contribution financière de l'Union est conditionnée par:</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a)</w:t>
      </w:r>
      <w:r w:rsidRPr="007C10ED">
        <w:rPr>
          <w:szCs w:val="24"/>
          <w:lang w:eastAsia="fr-FR" w:bidi="fr-FR"/>
        </w:rPr>
        <w:tab/>
        <w:t xml:space="preserve">la démonstration, par les États participants, que le programme AVA est institué conformément aux annexes I et II; </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b)</w:t>
      </w:r>
      <w:r w:rsidRPr="007C10ED">
        <w:rPr>
          <w:szCs w:val="24"/>
          <w:lang w:eastAsia="fr-FR" w:bidi="fr-FR"/>
        </w:rPr>
        <w:tab/>
        <w:t>la désignation, par les États participants ou les organisations désignées par les États participants, de l'AALA en qualité de structure chargée de la mise en œuvre du programme AVA ainsi que de l'attribution et du suivi de la contribution financière de l'Union;</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c)</w:t>
      </w:r>
      <w:r w:rsidRPr="007C10ED">
        <w:rPr>
          <w:szCs w:val="24"/>
          <w:lang w:eastAsia="fr-FR" w:bidi="fr-FR"/>
        </w:rPr>
        <w:tab/>
        <w:t>l'engagement de la part de chaque État participant à contribuer au financement du programme AVA;</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br w:type="page"/>
        <w:t>d)</w:t>
      </w:r>
      <w:r w:rsidRPr="007C10ED">
        <w:rPr>
          <w:szCs w:val="24"/>
          <w:lang w:eastAsia="fr-FR" w:bidi="fr-FR"/>
        </w:rPr>
        <w:tab/>
        <w:t>la démonstration par l'AALA de sa capacité à mettre en œuvre le programme AVA, y compris en ce qui concerne l'attribution et le suivi de la contribution de l'Union dans le cadre de la gestion indirecte du budget de l'Union conformément aux articles 58, 60 et 61 du règlement (UE, Euratom) n° 966/2012; et</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e)</w:t>
      </w:r>
      <w:r w:rsidRPr="007C10ED">
        <w:rPr>
          <w:szCs w:val="24"/>
          <w:lang w:eastAsia="fr-FR" w:bidi="fr-FR"/>
        </w:rPr>
        <w:tab/>
        <w:t>la mise en place d'un modèle de gouvernance pour le programme AVA conformément à l'annexe III.</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Lors de la mise en œuvre du programme AVA, la contribution financière de l'Union est également subordonnée au respect des conditions suivantes:</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a)</w:t>
      </w:r>
      <w:r w:rsidRPr="007C10ED">
        <w:rPr>
          <w:szCs w:val="24"/>
          <w:lang w:eastAsia="fr-FR" w:bidi="fr-FR"/>
        </w:rPr>
        <w:tab/>
        <w:t>la mise en œuvre par l'AALA des objectifs du programme AVA énoncés à l'annexe I et des activités énoncées à l'annexe II de la présente décision conformément au règlement (UE) n° </w:t>
      </w:r>
      <w:r w:rsidRPr="007C10ED">
        <w:rPr>
          <w:b/>
          <w:i/>
          <w:szCs w:val="24"/>
          <w:lang w:eastAsia="fr-FR" w:bidi="fr-FR"/>
        </w:rPr>
        <w:t>1290/2013</w:t>
      </w:r>
      <w:r w:rsidRPr="007C10ED">
        <w:rPr>
          <w:szCs w:val="24"/>
          <w:lang w:eastAsia="fr-FR" w:bidi="fr-FR"/>
        </w:rPr>
        <w:t>, sous réserve de l'article 5 de la présente décision;</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b)</w:t>
      </w:r>
      <w:r w:rsidRPr="007C10ED">
        <w:rPr>
          <w:szCs w:val="24"/>
          <w:lang w:eastAsia="fr-FR" w:bidi="fr-FR"/>
        </w:rPr>
        <w:tab/>
        <w:t>le maintien d'un modèle de gouvernance approprié et efficient conformément à l'annexe III;</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br w:type="page"/>
        <w:t>c)</w:t>
      </w:r>
      <w:r w:rsidRPr="007C10ED">
        <w:rPr>
          <w:szCs w:val="24"/>
          <w:lang w:eastAsia="fr-FR" w:bidi="fr-FR"/>
        </w:rPr>
        <w:tab/>
        <w:t>le respect, par l'AALA, des exigences en matière d'établissement de rapport énoncées à l'article 60, paragraphe 5, du règlement (UE, Euratom) n° 966/2012; et</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d)</w:t>
      </w:r>
      <w:r w:rsidRPr="007C10ED">
        <w:rPr>
          <w:szCs w:val="24"/>
          <w:lang w:eastAsia="fr-FR" w:bidi="fr-FR"/>
        </w:rPr>
        <w:tab/>
        <w:t>le respect, par chaque État participant, des engagements visés au paragraphe 1, point c), et des engagements annuels de contribuer au financement du programme AVA.</w:t>
      </w:r>
    </w:p>
    <w:p w:rsidR="002022AB" w:rsidRPr="007C10ED" w:rsidRDefault="002022AB" w:rsidP="00075179">
      <w:pPr>
        <w:autoSpaceDE w:val="0"/>
        <w:autoSpaceDN w:val="0"/>
        <w:adjustRightInd w:val="0"/>
        <w:spacing w:before="120" w:after="120" w:line="360" w:lineRule="auto"/>
        <w:jc w:val="center"/>
        <w:rPr>
          <w:i/>
          <w:iCs/>
          <w:szCs w:val="24"/>
          <w:lang w:eastAsia="fr-FR" w:bidi="fr-FR"/>
        </w:rPr>
      </w:pPr>
      <w:r w:rsidRPr="007C10ED">
        <w:rPr>
          <w:szCs w:val="24"/>
          <w:lang w:eastAsia="fr-FR" w:bidi="fr-FR"/>
        </w:rPr>
        <w:t>Article 4</w:t>
      </w:r>
      <w:r w:rsidRPr="007C10ED">
        <w:rPr>
          <w:szCs w:val="24"/>
          <w:lang w:eastAsia="fr-FR" w:bidi="fr-FR"/>
        </w:rPr>
        <w:br/>
        <w:t xml:space="preserve">Contributions des États participants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Les contributions des États participants se composent des éléments suivants:</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a)</w:t>
      </w:r>
      <w:r w:rsidRPr="007C10ED">
        <w:rPr>
          <w:szCs w:val="24"/>
          <w:lang w:eastAsia="fr-FR" w:bidi="fr-FR"/>
        </w:rPr>
        <w:tab/>
        <w:t xml:space="preserve">des contributions financières aux actions indirectes soutenues au titre du programme AVA conformément à l'annexe II; </w:t>
      </w:r>
    </w:p>
    <w:p w:rsidR="002022AB" w:rsidRPr="007C10ED" w:rsidRDefault="002022AB" w:rsidP="00075179">
      <w:pPr>
        <w:autoSpaceDE w:val="0"/>
        <w:autoSpaceDN w:val="0"/>
        <w:adjustRightInd w:val="0"/>
        <w:spacing w:before="120" w:after="120" w:line="360" w:lineRule="auto"/>
        <w:ind w:left="1418" w:hanging="567"/>
        <w:rPr>
          <w:szCs w:val="24"/>
          <w:lang w:eastAsia="fr-FR" w:bidi="fr-FR"/>
        </w:rPr>
      </w:pPr>
      <w:r w:rsidRPr="007C10ED">
        <w:rPr>
          <w:szCs w:val="24"/>
          <w:lang w:eastAsia="fr-FR" w:bidi="fr-FR"/>
        </w:rPr>
        <w:t>b)</w:t>
      </w:r>
      <w:r w:rsidRPr="007C10ED">
        <w:rPr>
          <w:szCs w:val="24"/>
          <w:lang w:eastAsia="fr-FR" w:bidi="fr-FR"/>
        </w:rPr>
        <w:tab/>
        <w:t>des contributions en nature correspondant aux frais administratifs supportés par les administrations nationales pour assurer la mise en œuvre effective du programme AVA conformément à l'annexe II.</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br w:type="page"/>
        <w:t>Article 5</w:t>
      </w:r>
      <w:r w:rsidRPr="007C10ED">
        <w:rPr>
          <w:szCs w:val="24"/>
          <w:lang w:eastAsia="fr-FR" w:bidi="fr-FR"/>
        </w:rPr>
        <w:br/>
        <w:t xml:space="preserve">Règles de participation et de diffusion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 xml:space="preserve">Aux fins du règlement (UE) n° </w:t>
      </w:r>
      <w:r w:rsidRPr="007C10ED">
        <w:rPr>
          <w:b/>
          <w:i/>
          <w:szCs w:val="24"/>
          <w:lang w:eastAsia="fr-FR" w:bidi="fr-FR"/>
        </w:rPr>
        <w:t>1290/2013</w:t>
      </w:r>
      <w:r w:rsidRPr="007C10ED">
        <w:rPr>
          <w:szCs w:val="24"/>
          <w:lang w:eastAsia="fr-FR" w:bidi="fr-FR"/>
        </w:rPr>
        <w:t xml:space="preserve">, l'AALA est considérée comme un organisme de financement et apporte un soutien financier aux actions indirectes conformément à l'annexe II de la présente décision.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Par dérogation à l'article </w:t>
      </w:r>
      <w:r w:rsidRPr="007C10ED">
        <w:rPr>
          <w:b/>
          <w:i/>
          <w:color w:val="000000"/>
          <w:szCs w:val="24"/>
          <w:lang w:eastAsia="fr-FR" w:bidi="fr-FR"/>
        </w:rPr>
        <w:t>15, paragraphe 9,</w:t>
      </w:r>
      <w:r w:rsidRPr="007C10ED">
        <w:rPr>
          <w:szCs w:val="24"/>
          <w:lang w:eastAsia="fr-FR" w:bidi="fr-FR"/>
        </w:rPr>
        <w:t xml:space="preserve"> du règlement (UE) n° </w:t>
      </w:r>
      <w:r w:rsidRPr="007C10ED">
        <w:rPr>
          <w:b/>
          <w:i/>
          <w:color w:val="000000"/>
          <w:szCs w:val="24"/>
          <w:lang w:eastAsia="fr-FR" w:bidi="fr-FR"/>
        </w:rPr>
        <w:t>1290/2013</w:t>
      </w:r>
      <w:r w:rsidRPr="007C10ED">
        <w:rPr>
          <w:szCs w:val="24"/>
          <w:lang w:eastAsia="fr-FR" w:bidi="fr-FR"/>
        </w:rPr>
        <w:t>, la capacité financière des candidats est vérifiée par l'organisme de gestion du programme national désigné conformément aux règles de participation aux programmes nationaux désignés.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w:t>
      </w:r>
      <w:r w:rsidRPr="007C10ED">
        <w:rPr>
          <w:szCs w:val="24"/>
          <w:lang w:eastAsia="fr-FR" w:bidi="fr-FR"/>
        </w:rPr>
        <w:tab/>
        <w:t>Par dérogation à l'article </w:t>
      </w:r>
      <w:r w:rsidRPr="007C10ED">
        <w:rPr>
          <w:b/>
          <w:i/>
          <w:color w:val="000000"/>
          <w:szCs w:val="24"/>
          <w:lang w:eastAsia="fr-FR" w:bidi="fr-FR"/>
        </w:rPr>
        <w:t>18</w:t>
      </w:r>
      <w:r w:rsidRPr="007C10ED">
        <w:rPr>
          <w:szCs w:val="24"/>
          <w:lang w:eastAsia="fr-FR" w:bidi="fr-FR"/>
        </w:rPr>
        <w:t>, paragraphe 2, du règlement (UE) n° </w:t>
      </w:r>
      <w:r w:rsidRPr="007C10ED">
        <w:rPr>
          <w:b/>
          <w:i/>
          <w:color w:val="000000"/>
          <w:szCs w:val="24"/>
          <w:lang w:eastAsia="fr-FR" w:bidi="fr-FR"/>
        </w:rPr>
        <w:t>1290/2013</w:t>
      </w:r>
      <w:r w:rsidRPr="007C10ED">
        <w:rPr>
          <w:szCs w:val="24"/>
          <w:lang w:eastAsia="fr-FR" w:bidi="fr-FR"/>
        </w:rPr>
        <w:t>, les conventions de subvention avec les participants sont signées par l'organisme de gestion du programme national désigné.</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4.</w:t>
      </w:r>
      <w:r w:rsidRPr="007C10ED">
        <w:rPr>
          <w:szCs w:val="24"/>
          <w:lang w:eastAsia="fr-FR" w:bidi="fr-FR"/>
        </w:rPr>
        <w:tab/>
        <w:t xml:space="preserve">Par dérogation à l'article </w:t>
      </w:r>
      <w:r w:rsidRPr="007C10ED">
        <w:rPr>
          <w:b/>
          <w:i/>
          <w:color w:val="000000"/>
          <w:szCs w:val="24"/>
          <w:lang w:eastAsia="fr-FR" w:bidi="fr-FR"/>
        </w:rPr>
        <w:t>23</w:t>
      </w:r>
      <w:r w:rsidRPr="007C10ED">
        <w:rPr>
          <w:szCs w:val="24"/>
          <w:lang w:eastAsia="fr-FR" w:bidi="fr-FR"/>
        </w:rPr>
        <w:t xml:space="preserve">, paragraphes 1 et 5 à 7, et aux articles </w:t>
      </w:r>
      <w:r w:rsidRPr="007C10ED">
        <w:rPr>
          <w:b/>
          <w:i/>
          <w:color w:val="000000"/>
          <w:szCs w:val="24"/>
          <w:lang w:eastAsia="fr-FR" w:bidi="fr-FR"/>
        </w:rPr>
        <w:t>25</w:t>
      </w:r>
      <w:r w:rsidRPr="007C10ED">
        <w:rPr>
          <w:szCs w:val="24"/>
          <w:lang w:eastAsia="fr-FR" w:bidi="fr-FR"/>
        </w:rPr>
        <w:t xml:space="preserve"> </w:t>
      </w:r>
      <w:r w:rsidRPr="007C10ED">
        <w:rPr>
          <w:color w:val="000000"/>
          <w:szCs w:val="24"/>
          <w:lang w:eastAsia="fr-FR" w:bidi="fr-FR"/>
        </w:rPr>
        <w:t>à</w:t>
      </w:r>
      <w:r w:rsidRPr="007C10ED">
        <w:rPr>
          <w:b/>
          <w:i/>
          <w:color w:val="000000"/>
          <w:szCs w:val="24"/>
          <w:lang w:eastAsia="fr-FR" w:bidi="fr-FR"/>
        </w:rPr>
        <w:t xml:space="preserve"> 35</w:t>
      </w:r>
      <w:r w:rsidRPr="007C10ED">
        <w:rPr>
          <w:szCs w:val="24"/>
          <w:lang w:eastAsia="fr-FR" w:bidi="fr-FR"/>
        </w:rPr>
        <w:t xml:space="preserve"> du règlement (UE) n° </w:t>
      </w:r>
      <w:r w:rsidRPr="007C10ED">
        <w:rPr>
          <w:b/>
          <w:i/>
          <w:color w:val="000000"/>
          <w:szCs w:val="24"/>
          <w:lang w:eastAsia="fr-FR" w:bidi="fr-FR"/>
        </w:rPr>
        <w:t>1290/2013</w:t>
      </w:r>
      <w:r w:rsidRPr="007C10ED">
        <w:rPr>
          <w:szCs w:val="24"/>
          <w:lang w:eastAsia="fr-FR" w:bidi="fr-FR"/>
        </w:rPr>
        <w:t>, les règles de financement des programmes nationaux désignés s'appliquent aux subventions gérées par les organismes de gestion du programme national désigné.</w:t>
      </w:r>
    </w:p>
    <w:p w:rsidR="002022AB" w:rsidRPr="007C10ED" w:rsidRDefault="002022AB" w:rsidP="00075179">
      <w:pPr>
        <w:autoSpaceDE w:val="0"/>
        <w:autoSpaceDN w:val="0"/>
        <w:adjustRightInd w:val="0"/>
        <w:spacing w:before="120" w:after="120" w:line="360" w:lineRule="auto"/>
        <w:ind w:left="851" w:hanging="851"/>
        <w:rPr>
          <w:i/>
          <w:iCs/>
          <w:szCs w:val="24"/>
          <w:lang w:eastAsia="fr-FR" w:bidi="fr-FR"/>
        </w:rPr>
      </w:pPr>
      <w:r w:rsidRPr="007C10ED">
        <w:rPr>
          <w:szCs w:val="24"/>
          <w:lang w:eastAsia="fr-FR" w:bidi="fr-FR"/>
        </w:rPr>
        <w:br w:type="page"/>
        <w:t>5.</w:t>
      </w:r>
      <w:r w:rsidRPr="007C10ED">
        <w:rPr>
          <w:szCs w:val="24"/>
          <w:lang w:eastAsia="fr-FR" w:bidi="fr-FR"/>
        </w:rPr>
        <w:tab/>
        <w:t xml:space="preserve">Par dérogation aux articles </w:t>
      </w:r>
      <w:r w:rsidRPr="007C10ED">
        <w:rPr>
          <w:b/>
          <w:i/>
          <w:color w:val="000000"/>
          <w:szCs w:val="24"/>
          <w:lang w:eastAsia="fr-FR" w:bidi="fr-FR"/>
        </w:rPr>
        <w:t>41</w:t>
      </w:r>
      <w:r w:rsidRPr="007C10ED">
        <w:rPr>
          <w:szCs w:val="24"/>
          <w:lang w:eastAsia="fr-FR" w:bidi="fr-FR"/>
        </w:rPr>
        <w:t xml:space="preserve"> à </w:t>
      </w:r>
      <w:r w:rsidRPr="007C10ED">
        <w:rPr>
          <w:b/>
          <w:i/>
          <w:color w:val="000000"/>
          <w:szCs w:val="24"/>
          <w:lang w:eastAsia="fr-FR" w:bidi="fr-FR"/>
        </w:rPr>
        <w:t>49</w:t>
      </w:r>
      <w:r w:rsidRPr="007C10ED">
        <w:rPr>
          <w:szCs w:val="24"/>
          <w:lang w:eastAsia="fr-FR" w:bidi="fr-FR"/>
        </w:rPr>
        <w:t xml:space="preserve"> du règlement (UE) n° </w:t>
      </w:r>
      <w:r w:rsidRPr="007C10ED">
        <w:rPr>
          <w:b/>
          <w:i/>
          <w:color w:val="000000"/>
          <w:szCs w:val="24"/>
          <w:lang w:eastAsia="fr-FR" w:bidi="fr-FR"/>
        </w:rPr>
        <w:t>1290/2013</w:t>
      </w:r>
      <w:r w:rsidRPr="007C10ED">
        <w:rPr>
          <w:szCs w:val="24"/>
          <w:lang w:eastAsia="fr-FR" w:bidi="fr-FR"/>
        </w:rPr>
        <w:t>, ce sont les règles des programmes nationaux désignés régissant les résultats et les droits d'accès aux connaissances préexistantes et aux résultats qui s'appliquent</w:t>
      </w:r>
      <w:r w:rsidRPr="007C10ED">
        <w:rPr>
          <w:b/>
          <w:i/>
          <w:color w:val="000000"/>
          <w:szCs w:val="24"/>
          <w:lang w:eastAsia="fr-FR" w:bidi="fr-FR"/>
        </w:rPr>
        <w:t>, sans préjudice du principe de libre accès aux publications scientifiques énoncé à l'article 18 du règlement (UE) n° 1291/2013</w:t>
      </w:r>
      <w:r w:rsidRPr="007C10ED">
        <w:rPr>
          <w:szCs w:val="24"/>
          <w:lang w:eastAsia="fr-FR" w:bidi="fr-FR"/>
        </w:rPr>
        <w:t>.</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 xml:space="preserve">Article 6 </w:t>
      </w:r>
      <w:r w:rsidRPr="007C10ED">
        <w:rPr>
          <w:szCs w:val="24"/>
          <w:lang w:eastAsia="fr-FR" w:bidi="fr-FR"/>
        </w:rPr>
        <w:br/>
        <w:t>Mise en œuvre du programme AVA</w:t>
      </w:r>
    </w:p>
    <w:p w:rsidR="002022AB" w:rsidRPr="007C10ED" w:rsidRDefault="002022AB" w:rsidP="00075179">
      <w:pPr>
        <w:autoSpaceDE w:val="0"/>
        <w:autoSpaceDN w:val="0"/>
        <w:adjustRightInd w:val="0"/>
        <w:spacing w:before="120" w:after="120" w:line="360" w:lineRule="auto"/>
        <w:rPr>
          <w:szCs w:val="24"/>
          <w:lang w:eastAsia="fr-FR" w:bidi="fr-FR"/>
        </w:rPr>
      </w:pPr>
      <w:r w:rsidRPr="007C10ED">
        <w:rPr>
          <w:szCs w:val="24"/>
          <w:lang w:eastAsia="fr-FR" w:bidi="fr-FR"/>
        </w:rPr>
        <w:t xml:space="preserve">Le programme AVA est mis en œuvre sur la base d'une </w:t>
      </w:r>
      <w:r w:rsidRPr="007C10ED">
        <w:rPr>
          <w:b/>
          <w:i/>
          <w:color w:val="000000"/>
          <w:szCs w:val="24"/>
          <w:lang w:eastAsia="fr-FR" w:bidi="fr-FR"/>
        </w:rPr>
        <w:t>stratégie mise en place au moyen de</w:t>
      </w:r>
      <w:r w:rsidRPr="007C10ED">
        <w:rPr>
          <w:szCs w:val="24"/>
          <w:lang w:eastAsia="fr-FR" w:bidi="fr-FR"/>
        </w:rPr>
        <w:t xml:space="preserve"> plans de travail annuels conformément à l'annexe II. </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 xml:space="preserve">Article 7 </w:t>
      </w:r>
      <w:r w:rsidRPr="007C10ED">
        <w:rPr>
          <w:szCs w:val="24"/>
          <w:lang w:eastAsia="fr-FR" w:bidi="fr-FR"/>
        </w:rPr>
        <w:br/>
        <w:t>Accords et conventions entre l'Union et l'AALA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Sous réserve d'une évaluation ex ante positive de l'AALA conformément à l'article 61, paragraphe 1, du règlement (UE, Euratom) n° 966/2012, la Commission, au nom de l'Union, conclut avec l'AALA une convention de délégation et des accords annuels de transfert de fonds.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w:t>
      </w:r>
      <w:r w:rsidRPr="007C10ED">
        <w:rPr>
          <w:szCs w:val="24"/>
          <w:lang w:eastAsia="fr-FR" w:bidi="fr-FR"/>
        </w:rPr>
        <w:tab/>
        <w:t>La convention de délégation visée au paragraphe 1 est conclue conformément à l'article 58, paragraphe 3, et aux articles 60 et 61 du règlement (UE, Euratom) n° 966/2012 et à l'article 40 du règlement délégué (UE) n° 1268/2012. Elle énonce également:</w:t>
      </w:r>
    </w:p>
    <w:p w:rsidR="002022AB" w:rsidRPr="007C10ED" w:rsidRDefault="002022AB" w:rsidP="00075179">
      <w:pPr>
        <w:tabs>
          <w:tab w:val="num" w:pos="1417"/>
        </w:tabs>
        <w:autoSpaceDE w:val="0"/>
        <w:autoSpaceDN w:val="0"/>
        <w:adjustRightInd w:val="0"/>
        <w:spacing w:before="120" w:after="120" w:line="360" w:lineRule="auto"/>
        <w:ind w:left="1418" w:hanging="567"/>
        <w:rPr>
          <w:szCs w:val="24"/>
          <w:lang w:eastAsia="fr-FR" w:bidi="fr-FR"/>
        </w:rPr>
      </w:pPr>
      <w:r w:rsidRPr="007C10ED">
        <w:rPr>
          <w:szCs w:val="24"/>
          <w:lang w:eastAsia="fr-FR" w:bidi="fr-FR"/>
        </w:rPr>
        <w:t>a)</w:t>
      </w:r>
      <w:r w:rsidRPr="007C10ED">
        <w:rPr>
          <w:szCs w:val="24"/>
          <w:lang w:eastAsia="fr-FR" w:bidi="fr-FR"/>
        </w:rPr>
        <w:tab/>
        <w:t xml:space="preserve">les exigences applicables à la contribution de l'AALA concernant les indicateurs pertinents parmi les indicateurs de performance figurant à l'annexe II de la décision </w:t>
      </w:r>
      <w:r w:rsidRPr="007C10ED">
        <w:rPr>
          <w:b/>
          <w:i/>
          <w:szCs w:val="24"/>
          <w:lang w:eastAsia="fr-FR" w:bidi="fr-FR"/>
        </w:rPr>
        <w:t>2013/743/UE</w:t>
      </w:r>
      <w:r w:rsidRPr="007C10ED">
        <w:rPr>
          <w:szCs w:val="24"/>
          <w:lang w:eastAsia="fr-FR" w:bidi="fr-FR"/>
        </w:rPr>
        <w:t>;</w:t>
      </w:r>
    </w:p>
    <w:p w:rsidR="002022AB" w:rsidRPr="007C10ED" w:rsidRDefault="002022AB" w:rsidP="00075179">
      <w:pPr>
        <w:tabs>
          <w:tab w:val="num" w:pos="1417"/>
        </w:tabs>
        <w:autoSpaceDE w:val="0"/>
        <w:autoSpaceDN w:val="0"/>
        <w:adjustRightInd w:val="0"/>
        <w:spacing w:before="120" w:after="120" w:line="360" w:lineRule="auto"/>
        <w:ind w:left="1418" w:hanging="567"/>
        <w:rPr>
          <w:szCs w:val="24"/>
          <w:lang w:eastAsia="fr-FR" w:bidi="fr-FR"/>
        </w:rPr>
      </w:pPr>
      <w:r w:rsidRPr="007C10ED">
        <w:rPr>
          <w:szCs w:val="24"/>
          <w:lang w:eastAsia="fr-FR" w:bidi="fr-FR"/>
        </w:rPr>
        <w:t>b)</w:t>
      </w:r>
      <w:r w:rsidRPr="007C10ED">
        <w:rPr>
          <w:szCs w:val="24"/>
          <w:lang w:eastAsia="fr-FR" w:bidi="fr-FR"/>
        </w:rPr>
        <w:tab/>
        <w:t xml:space="preserve">les exigences applicables à la contribution de l'AALA en ce qui concerne le suivi visé dans la décision </w:t>
      </w:r>
      <w:r w:rsidRPr="007C10ED">
        <w:rPr>
          <w:b/>
          <w:i/>
          <w:szCs w:val="24"/>
          <w:lang w:eastAsia="fr-FR" w:bidi="fr-FR"/>
        </w:rPr>
        <w:t>2013/743/UE</w:t>
      </w:r>
      <w:r w:rsidRPr="007C10ED">
        <w:rPr>
          <w:szCs w:val="24"/>
          <w:lang w:eastAsia="fr-FR" w:bidi="fr-FR"/>
        </w:rPr>
        <w:t xml:space="preserve">; </w:t>
      </w:r>
    </w:p>
    <w:p w:rsidR="002022AB" w:rsidRPr="007C10ED" w:rsidRDefault="002022AB" w:rsidP="00075179">
      <w:pPr>
        <w:tabs>
          <w:tab w:val="num" w:pos="1417"/>
        </w:tabs>
        <w:autoSpaceDE w:val="0"/>
        <w:autoSpaceDN w:val="0"/>
        <w:adjustRightInd w:val="0"/>
        <w:spacing w:before="120" w:after="120" w:line="360" w:lineRule="auto"/>
        <w:ind w:left="1418" w:hanging="567"/>
        <w:rPr>
          <w:szCs w:val="24"/>
          <w:lang w:eastAsia="fr-FR" w:bidi="fr-FR"/>
        </w:rPr>
      </w:pPr>
      <w:r w:rsidRPr="007C10ED">
        <w:rPr>
          <w:szCs w:val="24"/>
          <w:lang w:eastAsia="fr-FR" w:bidi="fr-FR"/>
        </w:rPr>
        <w:t>c)</w:t>
      </w:r>
      <w:r w:rsidRPr="007C10ED">
        <w:rPr>
          <w:szCs w:val="24"/>
          <w:lang w:eastAsia="fr-FR" w:bidi="fr-FR"/>
        </w:rPr>
        <w:tab/>
        <w:t>les indicateurs de performance spécifiques nécessaires au suivi du fonctionnement de l'AALA conformément à l'article 3, paragraphe 2;</w:t>
      </w:r>
    </w:p>
    <w:p w:rsidR="002022AB" w:rsidRPr="007C10ED" w:rsidRDefault="002022AB" w:rsidP="00075179">
      <w:pPr>
        <w:tabs>
          <w:tab w:val="num" w:pos="1417"/>
        </w:tabs>
        <w:autoSpaceDE w:val="0"/>
        <w:autoSpaceDN w:val="0"/>
        <w:adjustRightInd w:val="0"/>
        <w:spacing w:before="120" w:after="120" w:line="360" w:lineRule="auto"/>
        <w:ind w:left="1418" w:hanging="567"/>
        <w:rPr>
          <w:i/>
          <w:iCs/>
          <w:szCs w:val="24"/>
          <w:lang w:eastAsia="fr-FR" w:bidi="fr-FR"/>
        </w:rPr>
      </w:pPr>
      <w:r w:rsidRPr="007C10ED">
        <w:rPr>
          <w:szCs w:val="24"/>
          <w:lang w:eastAsia="fr-FR" w:bidi="fr-FR"/>
        </w:rPr>
        <w:t>d)</w:t>
      </w:r>
      <w:r w:rsidRPr="007C10ED">
        <w:rPr>
          <w:szCs w:val="24"/>
          <w:lang w:eastAsia="fr-FR" w:bidi="fr-FR"/>
        </w:rPr>
        <w:tab/>
        <w:t>les modalités relatives à la communication des données et informations nécessaires pour que la Commission soit en mesure de s'acquitter de ses obligations en matière de diffusion d'informations et d'établissement de rapports.</w:t>
      </w:r>
    </w:p>
    <w:p w:rsidR="002022AB" w:rsidRPr="007C10ED" w:rsidRDefault="002022AB" w:rsidP="00075179">
      <w:pPr>
        <w:tabs>
          <w:tab w:val="num" w:pos="1417"/>
        </w:tabs>
        <w:autoSpaceDE w:val="0"/>
        <w:autoSpaceDN w:val="0"/>
        <w:adjustRightInd w:val="0"/>
        <w:spacing w:before="120" w:after="120" w:line="360" w:lineRule="auto"/>
        <w:ind w:left="1418" w:hanging="567"/>
        <w:rPr>
          <w:szCs w:val="24"/>
          <w:lang w:eastAsia="fr-FR" w:bidi="fr-FR"/>
        </w:rPr>
      </w:pPr>
      <w:r w:rsidRPr="007C10ED">
        <w:rPr>
          <w:b/>
          <w:i/>
          <w:color w:val="000000"/>
          <w:szCs w:val="24"/>
          <w:lang w:eastAsia="fr-FR" w:bidi="fr-FR"/>
        </w:rPr>
        <w:t>e)</w:t>
      </w:r>
      <w:r w:rsidRPr="007C10ED">
        <w:rPr>
          <w:szCs w:val="24"/>
          <w:lang w:eastAsia="fr-FR" w:bidi="fr-FR"/>
        </w:rPr>
        <w:tab/>
      </w:r>
      <w:r w:rsidRPr="007C10ED">
        <w:rPr>
          <w:b/>
          <w:i/>
          <w:color w:val="000000"/>
          <w:szCs w:val="24"/>
          <w:lang w:eastAsia="fr-FR" w:bidi="fr-FR"/>
        </w:rPr>
        <w:t>des dispositions prévoyant la publication des appels à propositions lancés par l'AALA, en particulier sur le portail unique des participants ainsi que par d'autres moyens de diffusion électroniques dans le cadre d'Horizon 2020 gérés par la Commission.</w:t>
      </w:r>
    </w:p>
    <w:p w:rsidR="002022AB" w:rsidRPr="007C10ED" w:rsidRDefault="002022AB" w:rsidP="00075179">
      <w:pPr>
        <w:tabs>
          <w:tab w:val="num" w:pos="567"/>
          <w:tab w:val="left" w:pos="3402"/>
          <w:tab w:val="left" w:pos="3969"/>
        </w:tabs>
        <w:autoSpaceDE w:val="0"/>
        <w:autoSpaceDN w:val="0"/>
        <w:adjustRightInd w:val="0"/>
        <w:spacing w:before="120" w:after="120" w:line="360" w:lineRule="auto"/>
        <w:jc w:val="center"/>
        <w:rPr>
          <w:szCs w:val="24"/>
          <w:lang w:eastAsia="fr-FR" w:bidi="fr-FR"/>
        </w:rPr>
      </w:pPr>
      <w:r w:rsidRPr="007C10ED">
        <w:rPr>
          <w:szCs w:val="24"/>
          <w:lang w:eastAsia="fr-FR" w:bidi="fr-FR"/>
        </w:rPr>
        <w:br w:type="page"/>
        <w:t>Article 8</w:t>
      </w:r>
      <w:r w:rsidRPr="007C10ED">
        <w:rPr>
          <w:szCs w:val="24"/>
          <w:lang w:eastAsia="fr-FR" w:bidi="fr-FR"/>
        </w:rPr>
        <w:br/>
        <w:t>Cessation, réduction ou suspension de la contribution financière de l'Union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Si le programme AVA n'est pas mis en œuvre selon les conditions énoncées à l'article 3, la Commission peut mettre fin à la contribution financière de l'Union, la réduire proportionnellement ou la suspendre, en fonction de la mise en œuvre effective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 xml:space="preserve">Si les États participants ne contribuent pas ou contribuent de manière partielle ou tardive au financement du programme AVA, la Commission peut mettre fin à la contribution financière de l'Union, la réduire proportionnellement ou la suspendre, en tenant compte du montant des fonds alloués par les États participants à la mise en œuvre du programme. </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Article 9</w:t>
      </w:r>
      <w:r w:rsidRPr="007C10ED">
        <w:rPr>
          <w:szCs w:val="24"/>
          <w:lang w:eastAsia="fr-FR" w:bidi="fr-FR"/>
        </w:rPr>
        <w:br/>
        <w:t>Audits ex post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Les audits ex post des dépenses liées aux actions indirectes sont effectués par les organismes de gestion du programme national désigné conformément à l'article </w:t>
      </w:r>
      <w:r w:rsidRPr="007C10ED">
        <w:rPr>
          <w:b/>
          <w:i/>
          <w:szCs w:val="24"/>
          <w:lang w:eastAsia="fr-FR" w:bidi="fr-FR"/>
        </w:rPr>
        <w:t>29</w:t>
      </w:r>
      <w:r w:rsidRPr="007C10ED">
        <w:rPr>
          <w:szCs w:val="24"/>
          <w:lang w:eastAsia="fr-FR" w:bidi="fr-FR"/>
        </w:rPr>
        <w:t xml:space="preserve"> du règlement (UE) n° </w:t>
      </w:r>
      <w:r w:rsidRPr="007C10ED">
        <w:rPr>
          <w:b/>
          <w:i/>
          <w:szCs w:val="24"/>
          <w:lang w:eastAsia="fr-FR" w:bidi="fr-FR"/>
        </w:rPr>
        <w:t>1291/2013</w:t>
      </w:r>
      <w:r w:rsidRPr="007C10ED">
        <w:rPr>
          <w:szCs w:val="24"/>
          <w:lang w:eastAsia="fr-FR" w:bidi="fr-FR"/>
        </w:rPr>
        <w:t xml:space="preserve">.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w:t>
      </w:r>
      <w:r w:rsidRPr="007C10ED">
        <w:rPr>
          <w:szCs w:val="24"/>
          <w:lang w:eastAsia="fr-FR" w:bidi="fr-FR"/>
        </w:rPr>
        <w:tab/>
        <w:t>La Commission peut décider d'effectuer elle</w:t>
      </w:r>
      <w:r w:rsidRPr="007C10ED">
        <w:rPr>
          <w:szCs w:val="24"/>
          <w:lang w:eastAsia="fr-FR" w:bidi="fr-FR"/>
        </w:rPr>
        <w:noBreakHyphen/>
        <w:t>même les audits visés au paragraphe 1.</w:t>
      </w:r>
      <w:r w:rsidRPr="007C10ED">
        <w:rPr>
          <w:b/>
          <w:i/>
          <w:color w:val="000000"/>
          <w:szCs w:val="24"/>
          <w:lang w:eastAsia="fr-FR" w:bidi="fr-FR"/>
        </w:rPr>
        <w:t xml:space="preserve"> Dans ce cas, elle agit conformément aux règles applicables, en particulier les dispositions des règlements (UE, Euratom) n° 966/2012, (UE) n° 1290/2013 et (UE) n° 1291/2013.</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Article 10</w:t>
      </w:r>
      <w:r w:rsidRPr="007C10ED">
        <w:rPr>
          <w:szCs w:val="24"/>
          <w:lang w:eastAsia="fr-FR" w:bidi="fr-FR"/>
        </w:rPr>
        <w:br/>
        <w:t>Protection des intérêts financiers de l'Union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 xml:space="preserve">La Commission prend les mesures appropriées pour garantir la protection des intérêts financiers de l'Union lors de la mise en œuvre d'actions financées au titre de la présente décision, par l'application de mesures préventives contre la fraude, la corruption et toute autre activité illégale, par des contrôles efficaces et, si des irrégularités sont décelées, le recouvrement des montants indûment versés et, s'il y a lieu, par des sanctions administratives et financières effectives, proportionnées et dissuasives ▌.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2.</w:t>
      </w:r>
      <w:r w:rsidRPr="007C10ED">
        <w:rPr>
          <w:szCs w:val="24"/>
          <w:lang w:eastAsia="fr-FR" w:bidi="fr-FR"/>
        </w:rPr>
        <w:tab/>
        <w:t>L'Office européen de lutte antifraude (OLAF) peut effectuer des enquêtes, y compris des contrôles et vérifications sur place, conformément aux dispositions et procédures prévues par le règlement (Euratom, CE) n° 2185/96 du Conseil</w:t>
      </w:r>
      <w:r w:rsidRPr="007C10ED">
        <w:rPr>
          <w:b/>
          <w:szCs w:val="24"/>
          <w:vertAlign w:val="superscript"/>
          <w:lang w:eastAsia="fr-FR" w:bidi="fr-FR"/>
        </w:rPr>
        <w:footnoteReference w:id="22"/>
      </w:r>
      <w:r w:rsidRPr="007C10ED">
        <w:rPr>
          <w:szCs w:val="24"/>
          <w:lang w:eastAsia="fr-FR" w:bidi="fr-FR"/>
        </w:rPr>
        <w:t xml:space="preserve"> et le règlement (</w:t>
      </w:r>
      <w:r w:rsidRPr="007C10ED">
        <w:rPr>
          <w:b/>
          <w:i/>
          <w:szCs w:val="24"/>
          <w:lang w:eastAsia="fr-FR" w:bidi="fr-FR"/>
        </w:rPr>
        <w:t>UE, Euratom</w:t>
      </w:r>
      <w:r w:rsidRPr="007C10ED">
        <w:rPr>
          <w:szCs w:val="24"/>
          <w:lang w:eastAsia="fr-FR" w:bidi="fr-FR"/>
        </w:rPr>
        <w:t>) n° </w:t>
      </w:r>
      <w:r w:rsidRPr="007C10ED">
        <w:rPr>
          <w:b/>
          <w:i/>
          <w:szCs w:val="24"/>
          <w:lang w:eastAsia="fr-FR" w:bidi="fr-FR"/>
        </w:rPr>
        <w:t>883/2013</w:t>
      </w:r>
      <w:r w:rsidRPr="007C10ED">
        <w:rPr>
          <w:szCs w:val="24"/>
          <w:lang w:eastAsia="fr-FR" w:bidi="fr-FR"/>
        </w:rPr>
        <w:t xml:space="preserve"> du Parlement européen et du Conseil</w:t>
      </w:r>
      <w:r w:rsidRPr="007C10ED">
        <w:rPr>
          <w:b/>
          <w:szCs w:val="24"/>
          <w:vertAlign w:val="superscript"/>
          <w:lang w:eastAsia="fr-FR" w:bidi="fr-FR"/>
        </w:rPr>
        <w:footnoteReference w:id="23"/>
      </w:r>
      <w:r w:rsidRPr="007C10ED">
        <w:rPr>
          <w:szCs w:val="24"/>
          <w:lang w:eastAsia="fr-FR" w:bidi="fr-FR"/>
        </w:rPr>
        <w:t xml:space="preserve"> en vue d'établir l'existence éventuelle d'une fraude, d'un acte de corruption ou de toute autre activité illégale portant atteinte aux intérêts financiers de l'Union, dans le cadre d'une convention de subvention ou d'une décision de subvention ou d'un contrat financé conformément à la présente décision.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w:t>
      </w:r>
      <w:r w:rsidRPr="007C10ED">
        <w:rPr>
          <w:szCs w:val="24"/>
          <w:lang w:eastAsia="fr-FR" w:bidi="fr-FR"/>
        </w:rPr>
        <w:tab/>
        <w:t xml:space="preserve">Les contrats, conventions de subvention et décisions de subvention résultant de la mise en œuvre de la présente décision contiennent des dispositions habilitant expressément la Commission, l'AALA, la Cour des comptes et l'OLAF à procéder à ces audits et enquêtes conformément à leurs compétences respectives.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4.</w:t>
      </w:r>
      <w:r w:rsidRPr="007C10ED">
        <w:rPr>
          <w:szCs w:val="24"/>
          <w:lang w:eastAsia="fr-FR" w:bidi="fr-FR"/>
        </w:rPr>
        <w:tab/>
        <w:t>L'AALA accorde au personnel de la Commission et aux autres personnes autorisées par celle</w:t>
      </w:r>
      <w:r w:rsidRPr="007C10ED">
        <w:rPr>
          <w:szCs w:val="24"/>
          <w:lang w:eastAsia="fr-FR" w:bidi="fr-FR"/>
        </w:rPr>
        <w:noBreakHyphen/>
        <w:t>ci, ainsi qu'à la Cour des comptes, le droit d'accès à ses sites et ses locaux ainsi qu'à toutes les informations, y compris sous forme électronique, nécessaires pour mener à bien les audits visés au paragraphe 3.</w:t>
      </w:r>
    </w:p>
    <w:p w:rsidR="002022AB" w:rsidRPr="007C10ED" w:rsidRDefault="002022AB" w:rsidP="00075179">
      <w:pPr>
        <w:autoSpaceDE w:val="0"/>
        <w:autoSpaceDN w:val="0"/>
        <w:adjustRightInd w:val="0"/>
        <w:spacing w:before="120" w:after="120" w:line="360" w:lineRule="auto"/>
        <w:ind w:left="851" w:hanging="851"/>
        <w:rPr>
          <w:i/>
          <w:iCs/>
          <w:szCs w:val="24"/>
          <w:lang w:eastAsia="fr-FR" w:bidi="fr-FR"/>
        </w:rPr>
      </w:pPr>
      <w:r w:rsidRPr="007C10ED">
        <w:rPr>
          <w:color w:val="000000"/>
          <w:szCs w:val="24"/>
          <w:lang w:eastAsia="fr-FR" w:bidi="fr-FR"/>
        </w:rPr>
        <w:t>5.</w:t>
      </w:r>
      <w:r w:rsidRPr="007C10ED">
        <w:rPr>
          <w:szCs w:val="24"/>
          <w:lang w:eastAsia="fr-FR" w:bidi="fr-FR"/>
        </w:rPr>
        <w:tab/>
        <w:t>Lors de la mise en œuvre du programme AVA, les États participants prennent les mesures législatives, réglementaires, administratives ou autres qui sont nécessaires à la protection des intérêts financiers de l'Union, en particulier pour garantir le recouvrement intégral des sommes éventuellement dues à l'Union conformément au règlement (UE, Euratom) n° 966/2012 et au règlement délégué (UE) n° 1268/2012.</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Article 11</w:t>
      </w:r>
      <w:r w:rsidRPr="007C10ED">
        <w:rPr>
          <w:szCs w:val="24"/>
          <w:lang w:eastAsia="fr-FR" w:bidi="fr-FR"/>
        </w:rPr>
        <w:br/>
        <w:t>Communication des informations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À la demande de la Commission, l'AALA transmet toute information nécessaire à l'élaboration des rapports visés à l'article 12.</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w:t>
      </w:r>
      <w:r w:rsidRPr="007C10ED">
        <w:rPr>
          <w:szCs w:val="24"/>
          <w:lang w:eastAsia="fr-FR" w:bidi="fr-FR"/>
        </w:rPr>
        <w:tab/>
        <w:t>Les États participants transmettent, par l'intermédiaire de l'AALA, toute information pertinente demandée par le Parlement européen ou le Conseil concernant la gestion financière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w:t>
      </w:r>
      <w:r w:rsidRPr="007C10ED">
        <w:rPr>
          <w:szCs w:val="24"/>
          <w:lang w:eastAsia="fr-FR" w:bidi="fr-FR"/>
        </w:rPr>
        <w:tab/>
        <w:t xml:space="preserve">La Commission inclut les informations visées au paragraphe 2 du présent article dans les rapports visés à l'article 12. </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Article 12</w:t>
      </w:r>
      <w:r w:rsidRPr="007C10ED">
        <w:rPr>
          <w:szCs w:val="24"/>
          <w:lang w:eastAsia="fr-FR" w:bidi="fr-FR"/>
        </w:rPr>
        <w:br/>
        <w:t>Évaluation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 xml:space="preserve">Au plus tard le </w:t>
      </w:r>
      <w:r w:rsidRPr="007C10ED">
        <w:rPr>
          <w:b/>
          <w:i/>
          <w:szCs w:val="24"/>
          <w:lang w:eastAsia="fr-FR" w:bidi="fr-FR"/>
        </w:rPr>
        <w:t>30 juin </w:t>
      </w:r>
      <w:r w:rsidRPr="007C10ED">
        <w:rPr>
          <w:szCs w:val="24"/>
          <w:lang w:eastAsia="fr-FR" w:bidi="fr-FR"/>
        </w:rPr>
        <w:t>2017, la Commission procède à une évaluation intermédiaire du programme AVA,</w:t>
      </w:r>
      <w:r w:rsidRPr="007C10ED">
        <w:rPr>
          <w:b/>
          <w:i/>
          <w:szCs w:val="24"/>
          <w:lang w:eastAsia="fr-FR" w:bidi="fr-FR"/>
        </w:rPr>
        <w:t xml:space="preserve"> avec l'assistance d'experts indépendants</w:t>
      </w:r>
      <w:r w:rsidRPr="007C10ED">
        <w:rPr>
          <w:szCs w:val="24"/>
          <w:lang w:eastAsia="fr-FR" w:bidi="fr-FR"/>
        </w:rPr>
        <w:t xml:space="preserve">. Elle établit un rapport d'évaluation contenant les conclusions de cette évaluation ainsi que ses observations. Elle transmet ce rapport au Parlement européen et au Conseil au plus tard le </w:t>
      </w:r>
      <w:r w:rsidRPr="007C10ED">
        <w:rPr>
          <w:b/>
          <w:i/>
          <w:szCs w:val="24"/>
          <w:lang w:eastAsia="fr-FR" w:bidi="fr-FR"/>
        </w:rPr>
        <w:t>31 décembre 2017</w:t>
      </w:r>
      <w:r w:rsidRPr="007C10ED">
        <w:rPr>
          <w:szCs w:val="24"/>
          <w:lang w:eastAsia="fr-FR" w:bidi="fr-FR"/>
        </w:rPr>
        <w:t>.</w:t>
      </w:r>
      <w:r w:rsidRPr="007C10ED">
        <w:rPr>
          <w:b/>
          <w:i/>
          <w:color w:val="000000"/>
          <w:szCs w:val="24"/>
          <w:lang w:eastAsia="fr-FR" w:bidi="fr-FR"/>
        </w:rPr>
        <w:t xml:space="preserve"> Il est tenu compte des résultats de l'évaluation intermédiaire du programme AVA dans l'évaluation intermédiaire d'Horizon 2020.</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w:t>
      </w:r>
      <w:r w:rsidRPr="007C10ED">
        <w:rPr>
          <w:szCs w:val="24"/>
          <w:lang w:eastAsia="fr-FR" w:bidi="fr-FR"/>
        </w:rPr>
        <w:tab/>
        <w:t>Au terme de la participation de l'Union au programme AVA, et au plus tard le 31 décembre 2022, la Commission procède à une évaluation finale du programme AVA. La Commission établit un rapport d'évaluation, qui doit contenir les résultats de l'évaluation. La Commission transmet ce rapport au Parlement européen et au Conseil.</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Article 13</w:t>
      </w:r>
      <w:r w:rsidRPr="007C10ED">
        <w:rPr>
          <w:szCs w:val="24"/>
          <w:lang w:eastAsia="fr-FR" w:bidi="fr-FR"/>
        </w:rPr>
        <w:br/>
        <w:t>Entrée en vigueur</w:t>
      </w:r>
    </w:p>
    <w:p w:rsidR="002022AB" w:rsidRPr="007C10ED" w:rsidRDefault="002022AB" w:rsidP="00075179">
      <w:pPr>
        <w:autoSpaceDE w:val="0"/>
        <w:autoSpaceDN w:val="0"/>
        <w:adjustRightInd w:val="0"/>
        <w:spacing w:before="120" w:after="120" w:line="360" w:lineRule="auto"/>
        <w:rPr>
          <w:szCs w:val="24"/>
          <w:lang w:eastAsia="fr-FR" w:bidi="fr-FR"/>
        </w:rPr>
      </w:pPr>
      <w:r w:rsidRPr="007C10ED">
        <w:rPr>
          <w:szCs w:val="24"/>
          <w:lang w:eastAsia="fr-FR" w:bidi="fr-FR"/>
        </w:rPr>
        <w:t xml:space="preserve">La présente décision entre en vigueur le vingtième jour suivant celui de sa publication au </w:t>
      </w:r>
      <w:r w:rsidRPr="007C10ED">
        <w:rPr>
          <w:i/>
          <w:szCs w:val="24"/>
          <w:lang w:eastAsia="fr-FR" w:bidi="fr-FR"/>
        </w:rPr>
        <w:t>Journal officiel de l'Union européenne</w:t>
      </w:r>
      <w:r w:rsidRPr="007C10ED">
        <w:rPr>
          <w:szCs w:val="24"/>
          <w:lang w:eastAsia="fr-FR" w:bidi="fr-FR"/>
        </w:rPr>
        <w:t>.</w:t>
      </w:r>
    </w:p>
    <w:p w:rsidR="002022AB" w:rsidRPr="007C10ED" w:rsidRDefault="002022AB" w:rsidP="00075179">
      <w:pPr>
        <w:autoSpaceDE w:val="0"/>
        <w:autoSpaceDN w:val="0"/>
        <w:adjustRightInd w:val="0"/>
        <w:spacing w:before="120" w:after="120" w:line="360" w:lineRule="auto"/>
        <w:jc w:val="center"/>
        <w:rPr>
          <w:szCs w:val="24"/>
          <w:lang w:eastAsia="fr-FR" w:bidi="fr-FR"/>
        </w:rPr>
      </w:pPr>
      <w:r w:rsidRPr="007C10ED">
        <w:rPr>
          <w:szCs w:val="24"/>
          <w:lang w:eastAsia="fr-FR" w:bidi="fr-FR"/>
        </w:rPr>
        <w:t>Article 14</w:t>
      </w:r>
      <w:r w:rsidRPr="007C10ED">
        <w:rPr>
          <w:szCs w:val="24"/>
          <w:lang w:eastAsia="fr-FR" w:bidi="fr-FR"/>
        </w:rPr>
        <w:br/>
        <w:t>Destinataires</w:t>
      </w:r>
    </w:p>
    <w:p w:rsidR="002022AB" w:rsidRPr="007C10ED" w:rsidRDefault="002022AB" w:rsidP="00075179">
      <w:pPr>
        <w:autoSpaceDE w:val="0"/>
        <w:autoSpaceDN w:val="0"/>
        <w:adjustRightInd w:val="0"/>
        <w:spacing w:before="120" w:after="120" w:line="360" w:lineRule="auto"/>
        <w:ind w:left="567" w:hanging="567"/>
        <w:rPr>
          <w:szCs w:val="24"/>
          <w:lang w:eastAsia="fr-FR" w:bidi="fr-FR"/>
        </w:rPr>
      </w:pPr>
      <w:r w:rsidRPr="007C10ED">
        <w:rPr>
          <w:szCs w:val="24"/>
          <w:lang w:eastAsia="fr-FR" w:bidi="fr-FR"/>
        </w:rPr>
        <w:t>Les États membres sont destinataires de la présente décision.</w:t>
      </w:r>
    </w:p>
    <w:p w:rsidR="002022AB" w:rsidRPr="007C10ED" w:rsidRDefault="002022AB" w:rsidP="00075179">
      <w:pPr>
        <w:autoSpaceDE w:val="0"/>
        <w:autoSpaceDN w:val="0"/>
        <w:adjustRightInd w:val="0"/>
        <w:spacing w:before="120" w:line="360" w:lineRule="auto"/>
        <w:ind w:left="567" w:hanging="567"/>
        <w:rPr>
          <w:szCs w:val="24"/>
          <w:lang w:eastAsia="fr-FR" w:bidi="fr-FR"/>
        </w:rPr>
      </w:pPr>
      <w:r w:rsidRPr="007C10ED">
        <w:rPr>
          <w:szCs w:val="24"/>
          <w:lang w:eastAsia="fr-FR" w:bidi="fr-FR"/>
        </w:rPr>
        <w:t xml:space="preserve">Fait à </w:t>
      </w:r>
    </w:p>
    <w:p w:rsidR="002022AB" w:rsidRPr="007C10ED" w:rsidRDefault="002022AB" w:rsidP="00075179">
      <w:pPr>
        <w:autoSpaceDE w:val="0"/>
        <w:autoSpaceDN w:val="0"/>
        <w:adjustRightInd w:val="0"/>
        <w:spacing w:before="120" w:line="360" w:lineRule="auto"/>
        <w:ind w:left="567" w:hanging="567"/>
        <w:rPr>
          <w:szCs w:val="24"/>
          <w:lang w:eastAsia="fr-FR" w:bidi="fr-FR"/>
        </w:rPr>
      </w:pPr>
    </w:p>
    <w:p w:rsidR="002022AB" w:rsidRPr="007C10ED" w:rsidRDefault="002022AB" w:rsidP="00075179">
      <w:pPr>
        <w:tabs>
          <w:tab w:val="center" w:pos="7087"/>
        </w:tabs>
        <w:autoSpaceDE w:val="0"/>
        <w:autoSpaceDN w:val="0"/>
        <w:adjustRightInd w:val="0"/>
        <w:spacing w:before="720" w:after="120" w:line="360" w:lineRule="auto"/>
        <w:contextualSpacing/>
        <w:rPr>
          <w:i/>
          <w:szCs w:val="24"/>
          <w:lang w:eastAsia="fr-FR" w:bidi="fr-FR"/>
        </w:rPr>
      </w:pPr>
      <w:r w:rsidRPr="007C10ED">
        <w:rPr>
          <w:i/>
          <w:szCs w:val="24"/>
          <w:lang w:eastAsia="fr-FR" w:bidi="fr-FR"/>
        </w:rPr>
        <w:t>Par le Parlement européen</w:t>
      </w:r>
      <w:r w:rsidRPr="007C10ED">
        <w:rPr>
          <w:i/>
          <w:szCs w:val="24"/>
          <w:lang w:eastAsia="fr-FR" w:bidi="fr-FR"/>
        </w:rPr>
        <w:tab/>
        <w:t>Par le Conseil</w:t>
      </w:r>
    </w:p>
    <w:p w:rsidR="002022AB" w:rsidRPr="007C10ED" w:rsidRDefault="002022AB" w:rsidP="00075179">
      <w:pPr>
        <w:tabs>
          <w:tab w:val="center" w:pos="7087"/>
        </w:tabs>
        <w:autoSpaceDE w:val="0"/>
        <w:autoSpaceDN w:val="0"/>
        <w:adjustRightInd w:val="0"/>
        <w:spacing w:line="360" w:lineRule="auto"/>
        <w:contextualSpacing/>
        <w:rPr>
          <w:i/>
          <w:szCs w:val="24"/>
          <w:lang w:eastAsia="fr-FR" w:bidi="fr-FR"/>
        </w:rPr>
      </w:pPr>
      <w:r w:rsidRPr="007C10ED">
        <w:rPr>
          <w:i/>
          <w:szCs w:val="24"/>
          <w:lang w:eastAsia="fr-FR" w:bidi="fr-FR"/>
        </w:rPr>
        <w:t>Le président</w:t>
      </w:r>
      <w:r w:rsidRPr="007C10ED">
        <w:rPr>
          <w:i/>
          <w:szCs w:val="24"/>
          <w:lang w:eastAsia="fr-FR" w:bidi="fr-FR"/>
        </w:rPr>
        <w:tab/>
        <w:t>Le président</w:t>
      </w:r>
    </w:p>
    <w:p w:rsidR="002022AB" w:rsidRPr="007C10ED" w:rsidRDefault="002022AB" w:rsidP="00075179">
      <w:pPr>
        <w:autoSpaceDE w:val="0"/>
        <w:autoSpaceDN w:val="0"/>
        <w:adjustRightInd w:val="0"/>
        <w:spacing w:before="120" w:after="120" w:line="360" w:lineRule="auto"/>
        <w:ind w:left="567" w:hanging="567"/>
        <w:jc w:val="center"/>
        <w:rPr>
          <w:szCs w:val="24"/>
          <w:lang w:eastAsia="fr-FR" w:bidi="fr-FR"/>
        </w:rPr>
      </w:pPr>
      <w:r w:rsidRPr="007C10ED">
        <w:rPr>
          <w:szCs w:val="24"/>
          <w:lang w:eastAsia="fr-FR" w:bidi="fr-FR"/>
        </w:rPr>
        <w:br w:type="page"/>
        <w:t>ANNEXE I</w:t>
      </w:r>
    </w:p>
    <w:p w:rsidR="002022AB" w:rsidRPr="007C10ED" w:rsidRDefault="002022AB" w:rsidP="00075179">
      <w:pPr>
        <w:autoSpaceDE w:val="0"/>
        <w:autoSpaceDN w:val="0"/>
        <w:adjustRightInd w:val="0"/>
        <w:spacing w:before="120" w:after="120" w:line="360" w:lineRule="auto"/>
        <w:jc w:val="center"/>
        <w:outlineLvl w:val="0"/>
        <w:rPr>
          <w:caps/>
          <w:szCs w:val="24"/>
          <w:lang w:eastAsia="fr-FR" w:bidi="fr-FR"/>
        </w:rPr>
      </w:pPr>
      <w:r w:rsidRPr="007C10ED">
        <w:rPr>
          <w:caps/>
          <w:szCs w:val="24"/>
          <w:lang w:eastAsia="fr-FR" w:bidi="fr-FR"/>
        </w:rPr>
        <w:t>OBJECTIFS DU PROGRAMME AVA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Le programme AVA poursuit les objectifs suivants:</w:t>
      </w:r>
    </w:p>
    <w:p w:rsidR="002022AB" w:rsidRPr="007C10ED" w:rsidRDefault="002022AB" w:rsidP="00075179">
      <w:pPr>
        <w:autoSpaceDE w:val="0"/>
        <w:autoSpaceDN w:val="0"/>
        <w:adjustRightInd w:val="0"/>
        <w:spacing w:before="120" w:after="120" w:line="360" w:lineRule="auto"/>
        <w:ind w:left="1418" w:hanging="567"/>
        <w:outlineLvl w:val="0"/>
        <w:rPr>
          <w:szCs w:val="24"/>
          <w:lang w:eastAsia="fr-FR" w:bidi="fr-FR"/>
        </w:rPr>
      </w:pPr>
      <w:r w:rsidRPr="007C10ED">
        <w:rPr>
          <w:szCs w:val="24"/>
          <w:lang w:eastAsia="fr-FR" w:bidi="fr-FR"/>
        </w:rPr>
        <w:t>1.1.</w:t>
      </w:r>
      <w:r w:rsidRPr="007C10ED">
        <w:rPr>
          <w:szCs w:val="24"/>
          <w:lang w:eastAsia="fr-FR" w:bidi="fr-FR"/>
        </w:rPr>
        <w:tab/>
        <w:t xml:space="preserve">accélérer l'émergence </w:t>
      </w:r>
      <w:r w:rsidRPr="007C10ED">
        <w:rPr>
          <w:b/>
          <w:i/>
          <w:color w:val="000000"/>
          <w:szCs w:val="24"/>
          <w:lang w:eastAsia="fr-FR" w:bidi="fr-FR"/>
        </w:rPr>
        <w:t>et l'adoption de solutions innovantes basées sur les TIC qui soient pertinentes, abordables et, intégrées</w:t>
      </w:r>
      <w:r w:rsidRPr="007C10ED">
        <w:rPr>
          <w:szCs w:val="24"/>
          <w:lang w:eastAsia="fr-FR" w:bidi="fr-FR"/>
        </w:rPr>
        <w:t xml:space="preserve"> pour un vieillissement actif et en bonne santé chez soi, en société ou au travail, de façon à améliorer la qualité de vie, l'autonomie, </w:t>
      </w:r>
      <w:r w:rsidRPr="007C10ED">
        <w:rPr>
          <w:b/>
          <w:i/>
          <w:color w:val="000000"/>
          <w:szCs w:val="24"/>
          <w:lang w:eastAsia="fr-FR" w:bidi="fr-FR"/>
        </w:rPr>
        <w:t>l'inclusion sociale,</w:t>
      </w:r>
      <w:r w:rsidRPr="007C10ED">
        <w:rPr>
          <w:szCs w:val="24"/>
          <w:lang w:eastAsia="fr-FR" w:bidi="fr-FR"/>
        </w:rPr>
        <w:t xml:space="preserve"> la participation à la vie sociale, les compétences ou l'employabilité des personnes âgées et </w:t>
      </w:r>
      <w:r w:rsidRPr="007C10ED">
        <w:rPr>
          <w:b/>
          <w:i/>
          <w:color w:val="000000"/>
          <w:szCs w:val="24"/>
          <w:lang w:eastAsia="fr-FR" w:bidi="fr-FR"/>
        </w:rPr>
        <w:t>à contribuer</w:t>
      </w:r>
      <w:r w:rsidRPr="007C10ED">
        <w:rPr>
          <w:szCs w:val="24"/>
          <w:lang w:eastAsia="fr-FR" w:bidi="fr-FR"/>
        </w:rPr>
        <w:t xml:space="preserve"> à accroître </w:t>
      </w:r>
      <w:r w:rsidRPr="007C10ED">
        <w:rPr>
          <w:b/>
          <w:i/>
          <w:color w:val="000000"/>
          <w:szCs w:val="24"/>
          <w:lang w:eastAsia="fr-FR" w:bidi="fr-FR"/>
        </w:rPr>
        <w:t>l'efficience et</w:t>
      </w:r>
      <w:r w:rsidRPr="007C10ED">
        <w:rPr>
          <w:szCs w:val="24"/>
          <w:lang w:eastAsia="fr-FR" w:bidi="fr-FR"/>
        </w:rPr>
        <w:t xml:space="preserve"> l'efficacité des systèmes de santé et d'aide sociale; </w:t>
      </w:r>
    </w:p>
    <w:p w:rsidR="002022AB" w:rsidRPr="007C10ED" w:rsidRDefault="002022AB" w:rsidP="00075179">
      <w:pPr>
        <w:autoSpaceDE w:val="0"/>
        <w:autoSpaceDN w:val="0"/>
        <w:adjustRightInd w:val="0"/>
        <w:spacing w:before="120" w:after="120" w:line="360" w:lineRule="auto"/>
        <w:ind w:left="1418" w:hanging="567"/>
        <w:outlineLvl w:val="0"/>
        <w:rPr>
          <w:szCs w:val="24"/>
          <w:lang w:eastAsia="fr-FR" w:bidi="fr-FR"/>
        </w:rPr>
      </w:pPr>
      <w:r w:rsidRPr="007C10ED">
        <w:rPr>
          <w:b/>
          <w:i/>
          <w:color w:val="000000"/>
          <w:szCs w:val="24"/>
          <w:lang w:eastAsia="fr-FR" w:bidi="fr-FR"/>
        </w:rPr>
        <w:t>1.2.</w:t>
      </w:r>
      <w:r w:rsidRPr="007C10ED">
        <w:rPr>
          <w:szCs w:val="24"/>
          <w:lang w:eastAsia="fr-FR" w:bidi="fr-FR"/>
        </w:rPr>
        <w:tab/>
      </w:r>
      <w:r w:rsidRPr="007C10ED">
        <w:rPr>
          <w:b/>
          <w:i/>
          <w:color w:val="000000"/>
          <w:szCs w:val="24"/>
          <w:lang w:eastAsia="fr-FR" w:bidi="fr-FR"/>
        </w:rPr>
        <w:t>soutenir le développement de solutions qui contribuent à renforcer l'indépendance et à réduire le sentiment d'isolement social des personnes âgées, de telle manière que la composante TIC ne limite le contact humain, mais lui soit complémentaire. Les solutions basées sur les TIC soutenues au titre du programme AVA devraient intégrer, dès leur conception, des aspects non liés aux TIC;</w:t>
      </w:r>
    </w:p>
    <w:p w:rsidR="002022AB" w:rsidRPr="007C10ED" w:rsidRDefault="002022AB" w:rsidP="00075179">
      <w:pPr>
        <w:autoSpaceDE w:val="0"/>
        <w:autoSpaceDN w:val="0"/>
        <w:adjustRightInd w:val="0"/>
        <w:spacing w:before="120" w:after="120" w:line="360" w:lineRule="auto"/>
        <w:ind w:left="1418" w:hanging="567"/>
        <w:outlineLvl w:val="0"/>
        <w:rPr>
          <w:szCs w:val="24"/>
          <w:lang w:eastAsia="fr-FR" w:bidi="fr-FR"/>
        </w:rPr>
      </w:pPr>
      <w:r w:rsidRPr="007C10ED">
        <w:rPr>
          <w:szCs w:val="24"/>
          <w:lang w:eastAsia="fr-FR" w:bidi="fr-FR"/>
        </w:rPr>
        <w:br w:type="page"/>
        <w:t>1.3.</w:t>
      </w:r>
      <w:r w:rsidRPr="007C10ED">
        <w:rPr>
          <w:szCs w:val="24"/>
          <w:lang w:eastAsia="fr-FR" w:bidi="fr-FR"/>
        </w:rPr>
        <w:tab/>
        <w:t>maintenir et développer une masse critique d'activités de recherche appliquée, de développement et d'innovation, au niveau de l'Union, dans les domaines des produits et services basés sur les TIC pour un vieillissement actif et en bonne santé;</w:t>
      </w:r>
    </w:p>
    <w:p w:rsidR="002022AB" w:rsidRPr="007C10ED" w:rsidRDefault="002022AB" w:rsidP="00075179">
      <w:pPr>
        <w:autoSpaceDE w:val="0"/>
        <w:autoSpaceDN w:val="0"/>
        <w:adjustRightInd w:val="0"/>
        <w:spacing w:before="120" w:after="120" w:line="360" w:lineRule="auto"/>
        <w:ind w:left="1418" w:hanging="567"/>
        <w:outlineLvl w:val="0"/>
        <w:rPr>
          <w:szCs w:val="24"/>
          <w:lang w:eastAsia="fr-FR" w:bidi="fr-FR"/>
        </w:rPr>
      </w:pPr>
      <w:r w:rsidRPr="007C10ED">
        <w:rPr>
          <w:szCs w:val="24"/>
          <w:lang w:eastAsia="fr-FR" w:bidi="fr-FR"/>
        </w:rPr>
        <w:t>1.4.</w:t>
      </w:r>
      <w:r w:rsidRPr="007C10ED">
        <w:rPr>
          <w:szCs w:val="24"/>
          <w:lang w:eastAsia="fr-FR" w:bidi="fr-FR"/>
        </w:rPr>
        <w:tab/>
        <w:t xml:space="preserve">élaborer des solutions présentant un </w:t>
      </w:r>
      <w:r w:rsidRPr="007C10ED">
        <w:rPr>
          <w:b/>
          <w:i/>
          <w:color w:val="000000"/>
          <w:szCs w:val="24"/>
          <w:lang w:eastAsia="fr-FR" w:bidi="fr-FR"/>
        </w:rPr>
        <w:t>bon</w:t>
      </w:r>
      <w:r w:rsidRPr="007C10ED">
        <w:rPr>
          <w:szCs w:val="24"/>
          <w:lang w:eastAsia="fr-FR" w:bidi="fr-FR"/>
        </w:rPr>
        <w:t xml:space="preserve"> rapport coût</w:t>
      </w:r>
      <w:r w:rsidRPr="007C10ED">
        <w:rPr>
          <w:szCs w:val="24"/>
          <w:lang w:eastAsia="fr-FR" w:bidi="fr-FR"/>
        </w:rPr>
        <w:noBreakHyphen/>
        <w:t xml:space="preserve">efficacité, </w:t>
      </w:r>
      <w:r w:rsidRPr="007C10ED">
        <w:rPr>
          <w:b/>
          <w:i/>
          <w:color w:val="000000"/>
          <w:szCs w:val="24"/>
          <w:lang w:eastAsia="fr-FR" w:bidi="fr-FR"/>
        </w:rPr>
        <w:t>accessibles et, le cas échéant, économes en énergie,</w:t>
      </w:r>
      <w:r w:rsidRPr="007C10ED">
        <w:rPr>
          <w:szCs w:val="24"/>
          <w:lang w:eastAsia="fr-FR" w:bidi="fr-FR"/>
        </w:rPr>
        <w:t xml:space="preserve"> y compris en établissant des normes d'interopérabilité pertinentes et en facilitant la localisation et l'adaptation de solutions communes, qui soient compatibles avec la diversité des préférences sociales</w:t>
      </w:r>
      <w:r w:rsidRPr="007C10ED">
        <w:rPr>
          <w:b/>
          <w:i/>
          <w:color w:val="000000"/>
          <w:sz w:val="22"/>
          <w:szCs w:val="24"/>
          <w:lang w:eastAsia="fr-FR" w:bidi="fr-FR"/>
        </w:rPr>
        <w:t xml:space="preserve">, </w:t>
      </w:r>
      <w:r w:rsidRPr="007C10ED">
        <w:rPr>
          <w:b/>
          <w:i/>
          <w:color w:val="000000"/>
          <w:szCs w:val="24"/>
          <w:lang w:eastAsia="fr-FR" w:bidi="fr-FR"/>
        </w:rPr>
        <w:t>des facteurs socio</w:t>
      </w:r>
      <w:r w:rsidRPr="007C10ED">
        <w:rPr>
          <w:b/>
          <w:i/>
          <w:color w:val="000000"/>
          <w:szCs w:val="24"/>
          <w:lang w:eastAsia="fr-FR" w:bidi="fr-FR"/>
        </w:rPr>
        <w:noBreakHyphen/>
        <w:t>économiques (y compris la précarité énergétique et l'inclusion sociale), des aspects liés au genre</w:t>
      </w:r>
      <w:r w:rsidRPr="007C10ED">
        <w:rPr>
          <w:szCs w:val="24"/>
          <w:lang w:eastAsia="fr-FR" w:bidi="fr-FR"/>
        </w:rPr>
        <w:t xml:space="preserve"> et des aspects réglementaires au niveau national ou régional, respectent la vie privée et la dignité des personnes âgées</w:t>
      </w:r>
      <w:r w:rsidRPr="007C10ED">
        <w:rPr>
          <w:b/>
          <w:i/>
          <w:color w:val="000000"/>
          <w:szCs w:val="24"/>
          <w:lang w:eastAsia="fr-FR" w:bidi="fr-FR"/>
        </w:rPr>
        <w:t>, y compris la protection et la sécurité des données à caractère personnel en appliquant les principes les plus récents en matière de protection des données dès la phase de conception</w:t>
      </w:r>
      <w:r w:rsidRPr="007C10ED">
        <w:rPr>
          <w:szCs w:val="24"/>
          <w:lang w:eastAsia="fr-FR" w:bidi="fr-FR"/>
        </w:rPr>
        <w:t xml:space="preserve"> et, le cas échéant, facilitent l'accès aux services en zone rurale ou périphérique ou bénéficient à d'autres catégories de population comme les personnes handicapées.</w:t>
      </w:r>
      <w:r w:rsidRPr="007C10ED">
        <w:rPr>
          <w:b/>
          <w:i/>
          <w:color w:val="000000"/>
          <w:sz w:val="22"/>
          <w:szCs w:val="24"/>
          <w:lang w:eastAsia="fr-FR" w:bidi="fr-FR"/>
        </w:rPr>
        <w:t xml:space="preserve"> </w:t>
      </w:r>
      <w:r w:rsidRPr="007C10ED">
        <w:rPr>
          <w:b/>
          <w:i/>
          <w:color w:val="000000"/>
          <w:szCs w:val="24"/>
          <w:lang w:eastAsia="fr-FR" w:bidi="fr-FR"/>
        </w:rPr>
        <w:t>Afin d'améliorer l'accessibilité, la notion de "conception pour tous" sera mise en avant lors du développement et du déploiement de solutions.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2.</w:t>
      </w:r>
      <w:r w:rsidRPr="007C10ED">
        <w:rPr>
          <w:szCs w:val="24"/>
          <w:lang w:eastAsia="fr-FR" w:bidi="fr-FR"/>
        </w:rPr>
        <w:tab/>
        <w:t xml:space="preserve">Le programme AVA crée un environnement propice à la participation des petites et moyennes entreprises.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w:t>
      </w:r>
      <w:r w:rsidRPr="007C10ED">
        <w:rPr>
          <w:szCs w:val="24"/>
          <w:lang w:eastAsia="fr-FR" w:bidi="fr-FR"/>
        </w:rPr>
        <w:tab/>
        <w:t xml:space="preserve">Le programme AVA est centré sur ▌des activités de recherche appliquée et d'innovation </w:t>
      </w:r>
      <w:r w:rsidRPr="007C10ED">
        <w:rPr>
          <w:b/>
          <w:i/>
          <w:color w:val="000000"/>
          <w:szCs w:val="24"/>
          <w:lang w:eastAsia="fr-FR" w:bidi="fr-FR"/>
        </w:rPr>
        <w:t>axées</w:t>
      </w:r>
      <w:r w:rsidRPr="007C10ED">
        <w:rPr>
          <w:b/>
          <w:i/>
          <w:szCs w:val="24"/>
          <w:lang w:eastAsia="fr-FR" w:bidi="fr-FR"/>
        </w:rPr>
        <w:t xml:space="preserve"> sur</w:t>
      </w:r>
      <w:r w:rsidRPr="007C10ED">
        <w:rPr>
          <w:szCs w:val="24"/>
          <w:lang w:eastAsia="fr-FR" w:bidi="fr-FR"/>
        </w:rPr>
        <w:t xml:space="preserve"> le marché et complète les activités correspondantes de recherche à long terme et d'innovation à grande échelle envisagées au titre d'Horizon 2020 et d'autres initiatives européennes et nationales</w:t>
      </w:r>
      <w:r w:rsidRPr="007C10ED">
        <w:rPr>
          <w:b/>
          <w:i/>
          <w:color w:val="000000"/>
          <w:szCs w:val="24"/>
          <w:lang w:eastAsia="fr-FR" w:bidi="fr-FR"/>
        </w:rPr>
        <w:t>, telles que des initiatives et des activités de programmation conjointes entreprises dans le cadre de l'Institut européen d'innovation et de technologie et de ses communautés de la connaissance et de l'innovation concernées</w:t>
      </w:r>
      <w:r w:rsidRPr="007C10ED">
        <w:rPr>
          <w:szCs w:val="24"/>
          <w:lang w:eastAsia="fr-FR" w:bidi="fr-FR"/>
        </w:rPr>
        <w:t xml:space="preserve">. Il contribue aussi à la mise en œuvre du partenariat européen d'innovation pour un vieillissement actif et en bonne santé. </w:t>
      </w:r>
    </w:p>
    <w:p w:rsidR="002022AB" w:rsidRPr="007C10ED" w:rsidRDefault="002022AB" w:rsidP="00075179">
      <w:pPr>
        <w:widowControl w:val="0"/>
        <w:autoSpaceDE w:val="0"/>
        <w:autoSpaceDN w:val="0"/>
        <w:adjustRightInd w:val="0"/>
        <w:spacing w:before="120" w:after="120" w:line="360" w:lineRule="auto"/>
        <w:jc w:val="center"/>
        <w:rPr>
          <w:szCs w:val="24"/>
          <w:lang w:eastAsia="fr-FR" w:bidi="fr-FR"/>
        </w:rPr>
      </w:pPr>
      <w:r w:rsidRPr="007C10ED">
        <w:rPr>
          <w:szCs w:val="24"/>
          <w:lang w:eastAsia="fr-FR" w:bidi="fr-FR"/>
        </w:rPr>
        <w:br w:type="page"/>
        <w:t>ANNEXE II</w:t>
      </w:r>
    </w:p>
    <w:p w:rsidR="002022AB" w:rsidRPr="007C10ED" w:rsidRDefault="002022AB" w:rsidP="00075179">
      <w:pPr>
        <w:widowControl w:val="0"/>
        <w:autoSpaceDE w:val="0"/>
        <w:autoSpaceDN w:val="0"/>
        <w:adjustRightInd w:val="0"/>
        <w:spacing w:before="120" w:after="120" w:line="360" w:lineRule="auto"/>
        <w:jc w:val="center"/>
        <w:rPr>
          <w:szCs w:val="24"/>
          <w:lang w:eastAsia="fr-FR" w:bidi="fr-FR"/>
        </w:rPr>
      </w:pPr>
      <w:r w:rsidRPr="007C10ED">
        <w:rPr>
          <w:szCs w:val="24"/>
          <w:lang w:eastAsia="fr-FR" w:bidi="fr-FR"/>
        </w:rPr>
        <w:t>ACTIVITÉS DU PROGRAMME AVA</w:t>
      </w:r>
    </w:p>
    <w:p w:rsidR="002022AB" w:rsidRPr="007C10ED" w:rsidRDefault="002022AB" w:rsidP="00075179">
      <w:pPr>
        <w:autoSpaceDE w:val="0"/>
        <w:autoSpaceDN w:val="0"/>
        <w:adjustRightInd w:val="0"/>
        <w:spacing w:before="120" w:after="120" w:line="360" w:lineRule="auto"/>
        <w:rPr>
          <w:b/>
          <w:bCs/>
          <w:szCs w:val="24"/>
          <w:lang w:eastAsia="fr-FR" w:bidi="fr-FR"/>
        </w:rPr>
      </w:pPr>
      <w:r w:rsidRPr="007C10ED">
        <w:rPr>
          <w:b/>
          <w:szCs w:val="24"/>
          <w:lang w:eastAsia="fr-FR" w:bidi="fr-FR"/>
        </w:rPr>
        <w:t>I.</w:t>
      </w:r>
      <w:r w:rsidRPr="007C10ED">
        <w:rPr>
          <w:szCs w:val="24"/>
          <w:lang w:eastAsia="fr-FR" w:bidi="fr-FR"/>
        </w:rPr>
        <w:tab/>
      </w:r>
      <w:r w:rsidRPr="007C10ED">
        <w:rPr>
          <w:b/>
          <w:szCs w:val="24"/>
          <w:lang w:eastAsia="fr-FR" w:bidi="fr-FR"/>
        </w:rPr>
        <w:t>Actions indirectes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1.</w:t>
      </w:r>
      <w:r w:rsidRPr="007C10ED">
        <w:rPr>
          <w:szCs w:val="24"/>
          <w:lang w:eastAsia="fr-FR" w:bidi="fr-FR"/>
        </w:rPr>
        <w:tab/>
        <w:t>La mise en œuvre du programme AVA vise principalement à soutenir des projets en matière de recherche et d'innovation, axés sur le marché, pour un vieillissement actif et en bonne santé, qui démontrent qu'il est possible d'en exploiter les résultats dans des délais réalistes. Le financement de ces actions indirectes au titre du programme AVA prend principalement la forme de subventions. Il peut aussi prendre d'autres formes telles que des prix, des achats publics avant commercialisation et des marchés publics de solutions innovantes.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2.</w:t>
      </w:r>
      <w:r w:rsidRPr="007C10ED">
        <w:rPr>
          <w:szCs w:val="24"/>
          <w:lang w:eastAsia="fr-FR" w:bidi="fr-FR"/>
        </w:rPr>
        <w:tab/>
        <w:t>En outre, peuvent bénéficier d'un soutien</w:t>
      </w:r>
      <w:r w:rsidRPr="007C10ED">
        <w:rPr>
          <w:b/>
          <w:i/>
          <w:szCs w:val="24"/>
          <w:lang w:eastAsia="fr-FR" w:bidi="fr-FR"/>
        </w:rPr>
        <w:t>, d'une part,</w:t>
      </w:r>
      <w:r w:rsidRPr="007C10ED">
        <w:rPr>
          <w:szCs w:val="24"/>
          <w:lang w:eastAsia="fr-FR" w:bidi="fr-FR"/>
        </w:rPr>
        <w:t xml:space="preserve"> les activités de courtage et de promotion du programme, </w:t>
      </w:r>
      <w:r w:rsidRPr="007C10ED">
        <w:rPr>
          <w:b/>
          <w:i/>
          <w:color w:val="000000"/>
          <w:szCs w:val="24"/>
          <w:lang w:eastAsia="fr-FR" w:bidi="fr-FR"/>
        </w:rPr>
        <w:t>en particulier les activités d'information et de sensibilisation à l'intention des pays qui ne participent pas actuellement au programme AVA,</w:t>
      </w:r>
      <w:r w:rsidRPr="007C10ED">
        <w:rPr>
          <w:b/>
          <w:i/>
          <w:szCs w:val="24"/>
          <w:lang w:eastAsia="fr-FR" w:bidi="fr-FR"/>
        </w:rPr>
        <w:t xml:space="preserve"> et, d'autre part, les</w:t>
      </w:r>
      <w:r w:rsidRPr="007C10ED">
        <w:rPr>
          <w:szCs w:val="24"/>
          <w:lang w:eastAsia="fr-FR" w:bidi="fr-FR"/>
        </w:rPr>
        <w:t xml:space="preserve"> activités visant à sensibiliser aux fonctionnalités actuelles, à promouvoir le déploiement de solutions innovantes et à mettre en relation les organismes ▌représentant l'offre et celles représentant la demande </w:t>
      </w:r>
      <w:r w:rsidRPr="007C10ED">
        <w:rPr>
          <w:b/>
          <w:i/>
          <w:color w:val="000000"/>
          <w:szCs w:val="24"/>
          <w:lang w:eastAsia="fr-FR" w:bidi="fr-FR"/>
        </w:rPr>
        <w:t>et à faciliter l'accès au financement et aux investisseurs</w:t>
      </w:r>
      <w:r w:rsidRPr="007C10ED">
        <w:rPr>
          <w:szCs w:val="24"/>
          <w:lang w:eastAsia="fr-FR" w:bidi="fr-FR"/>
        </w:rPr>
        <w:t xml:space="preserve">.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3.</w:t>
      </w:r>
      <w:r w:rsidRPr="007C10ED">
        <w:rPr>
          <w:szCs w:val="24"/>
          <w:lang w:eastAsia="fr-FR" w:bidi="fr-FR"/>
        </w:rPr>
        <w:tab/>
        <w:t xml:space="preserve">Les activités visant à améliorer la qualité des propositions, les études de faisabilité et les ateliers peuvent aussi bénéficier d'un soutien. La collaboration avec les régions de l'Union peut être envisagée afin d'élargir le groupe de parties intéressées participant au programme AVA.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4.</w:t>
      </w:r>
      <w:r w:rsidRPr="007C10ED">
        <w:rPr>
          <w:szCs w:val="24"/>
          <w:lang w:eastAsia="fr-FR" w:bidi="fr-FR"/>
        </w:rPr>
        <w:tab/>
      </w:r>
      <w:r w:rsidRPr="007C10ED">
        <w:rPr>
          <w:b/>
          <w:i/>
          <w:color w:val="000000"/>
          <w:szCs w:val="24"/>
          <w:lang w:eastAsia="fr-FR" w:bidi="fr-FR"/>
        </w:rPr>
        <w:t>Les activités visent à consolider et analyser différentes méthodes de participation des utilisateurs finaux de façon à dégager un guide des bonnes pratiques fondé sur des données concrètes.</w:t>
      </w:r>
    </w:p>
    <w:p w:rsidR="002022AB" w:rsidRPr="007C10ED" w:rsidRDefault="002022AB" w:rsidP="00075179">
      <w:pPr>
        <w:autoSpaceDE w:val="0"/>
        <w:autoSpaceDN w:val="0"/>
        <w:adjustRightInd w:val="0"/>
        <w:spacing w:before="120" w:after="120" w:line="360" w:lineRule="auto"/>
        <w:rPr>
          <w:b/>
          <w:bCs/>
          <w:szCs w:val="24"/>
          <w:lang w:eastAsia="fr-FR" w:bidi="fr-FR"/>
        </w:rPr>
      </w:pPr>
      <w:r w:rsidRPr="007C10ED">
        <w:rPr>
          <w:b/>
          <w:szCs w:val="24"/>
          <w:lang w:eastAsia="fr-FR" w:bidi="fr-FR"/>
        </w:rPr>
        <w:t>II.</w:t>
      </w:r>
      <w:r w:rsidRPr="007C10ED">
        <w:rPr>
          <w:szCs w:val="24"/>
          <w:lang w:eastAsia="fr-FR" w:bidi="fr-FR"/>
        </w:rPr>
        <w:tab/>
      </w:r>
      <w:r w:rsidRPr="007C10ED">
        <w:rPr>
          <w:b/>
          <w:szCs w:val="24"/>
          <w:lang w:eastAsia="fr-FR" w:bidi="fr-FR"/>
        </w:rPr>
        <w:t>Mise en œuvre</w:t>
      </w:r>
    </w:p>
    <w:p w:rsidR="002022AB" w:rsidRPr="007C10ED" w:rsidRDefault="002022AB" w:rsidP="00075179">
      <w:pPr>
        <w:autoSpaceDE w:val="0"/>
        <w:autoSpaceDN w:val="0"/>
        <w:adjustRightInd w:val="0"/>
        <w:spacing w:before="120" w:after="120" w:line="360" w:lineRule="auto"/>
        <w:ind w:left="851" w:hanging="851"/>
        <w:rPr>
          <w:b/>
          <w:bCs/>
          <w:szCs w:val="24"/>
          <w:u w:val="single"/>
          <w:lang w:eastAsia="fr-FR" w:bidi="fr-FR"/>
        </w:rPr>
      </w:pPr>
      <w:r w:rsidRPr="007C10ED">
        <w:rPr>
          <w:color w:val="000000"/>
          <w:szCs w:val="24"/>
          <w:lang w:eastAsia="fr-FR" w:bidi="fr-FR"/>
        </w:rPr>
        <w:t>1.</w:t>
      </w:r>
      <w:r w:rsidRPr="007C10ED">
        <w:rPr>
          <w:szCs w:val="24"/>
          <w:lang w:eastAsia="fr-FR" w:bidi="fr-FR"/>
        </w:rPr>
        <w:tab/>
        <w:t xml:space="preserve">Le programme AVA est mis en œuvre sur la base de plans de travail annuels recensant </w:t>
      </w:r>
      <w:r w:rsidRPr="007C10ED">
        <w:rPr>
          <w:b/>
          <w:i/>
          <w:color w:val="000000"/>
          <w:szCs w:val="24"/>
          <w:lang w:eastAsia="fr-FR" w:bidi="fr-FR"/>
        </w:rPr>
        <w:t>les formes de financement et</w:t>
      </w:r>
      <w:r w:rsidRPr="007C10ED">
        <w:rPr>
          <w:szCs w:val="24"/>
          <w:lang w:eastAsia="fr-FR" w:bidi="fr-FR"/>
        </w:rPr>
        <w:t xml:space="preserve"> les sujets des appels à propositions. </w:t>
      </w:r>
      <w:r w:rsidRPr="007C10ED">
        <w:rPr>
          <w:b/>
          <w:i/>
          <w:color w:val="000000"/>
          <w:szCs w:val="24"/>
          <w:lang w:eastAsia="fr-FR" w:bidi="fr-FR"/>
        </w:rPr>
        <w:t>Les plans de travail sont établis à partir d'une stratégie publiée, mettant l'accent sur les défis et les priorités à aborder, que l'AALA a adoptée.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2.</w:t>
      </w:r>
      <w:r w:rsidRPr="007C10ED">
        <w:rPr>
          <w:szCs w:val="24"/>
          <w:lang w:eastAsia="fr-FR" w:bidi="fr-FR"/>
        </w:rPr>
        <w:tab/>
        <w:t xml:space="preserve">Les plans de travail annuels sont convenus avec la Commission et servent de base à la contribution financière annuelle de l'Union.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3.</w:t>
      </w:r>
      <w:r w:rsidRPr="007C10ED">
        <w:rPr>
          <w:szCs w:val="24"/>
          <w:lang w:eastAsia="fr-FR" w:bidi="fr-FR"/>
        </w:rPr>
        <w:tab/>
        <w:t>La mise en œuvre du programme AVA suppose de consulter</w:t>
      </w:r>
      <w:r w:rsidRPr="007C10ED">
        <w:rPr>
          <w:b/>
          <w:i/>
          <w:color w:val="000000"/>
          <w:szCs w:val="24"/>
          <w:lang w:eastAsia="fr-FR" w:bidi="fr-FR"/>
        </w:rPr>
        <w:t>, y compris en ce qui concerne la stratégie,</w:t>
      </w:r>
      <w:r w:rsidRPr="007C10ED">
        <w:rPr>
          <w:szCs w:val="24"/>
          <w:lang w:eastAsia="fr-FR" w:bidi="fr-FR"/>
        </w:rPr>
        <w:t xml:space="preserve"> les parties intéressées (y compris les décideurs des pouvoirs publics, les représentants des utilisateurs, les prestataires de services et assureurs du secteur privé ainsi que les entreprises, y compris les PME) à propos des priorités à retenir en matière de recherche appliquée et d'innovation.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4.</w:t>
      </w:r>
      <w:r w:rsidRPr="007C10ED">
        <w:rPr>
          <w:szCs w:val="24"/>
          <w:lang w:eastAsia="fr-FR" w:bidi="fr-FR"/>
        </w:rPr>
        <w:tab/>
        <w:t>Lors de la mise en œuvre du programme AVA, il est tenu compte des tendances démographiques et des recherches menées dans ce domaine afin de proposer des solutions qui reflètent la situation sociale et économique dans toute l'Union.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b/>
          <w:i/>
          <w:color w:val="000000"/>
          <w:szCs w:val="24"/>
          <w:lang w:eastAsia="fr-FR" w:bidi="fr-FR"/>
        </w:rPr>
        <w:t>5.</w:t>
      </w:r>
      <w:r w:rsidRPr="007C10ED">
        <w:rPr>
          <w:szCs w:val="24"/>
          <w:lang w:eastAsia="fr-FR" w:bidi="fr-FR"/>
        </w:rPr>
        <w:tab/>
      </w:r>
      <w:r w:rsidRPr="007C10ED">
        <w:rPr>
          <w:b/>
          <w:i/>
          <w:color w:val="000000"/>
          <w:szCs w:val="24"/>
          <w:lang w:eastAsia="fr-FR" w:bidi="fr-FR"/>
        </w:rPr>
        <w:t>La mise en œuvre du programme AVA tient compte des politiques industrielle, climatique et énergétique de l'Union. Le programme AVA promeut également l'efficacité énergétique et reflète la nécessité de s'attaquer à la précarité énergétique.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6.</w:t>
      </w:r>
      <w:r w:rsidRPr="007C10ED">
        <w:rPr>
          <w:szCs w:val="24"/>
          <w:lang w:eastAsia="fr-FR" w:bidi="fr-FR"/>
        </w:rPr>
        <w:tab/>
        <w:t xml:space="preserve">Conformément aux </w:t>
      </w:r>
      <w:r w:rsidRPr="007C10ED">
        <w:rPr>
          <w:b/>
          <w:i/>
          <w:color w:val="000000"/>
          <w:szCs w:val="24"/>
          <w:lang w:eastAsia="fr-FR" w:bidi="fr-FR"/>
        </w:rPr>
        <w:t>principes et aux règles d'Horizon 2020</w:t>
      </w:r>
      <w:r w:rsidRPr="007C10ED">
        <w:rPr>
          <w:szCs w:val="24"/>
          <w:lang w:eastAsia="fr-FR" w:bidi="fr-FR"/>
        </w:rPr>
        <w:t>, il est dûment tenu compte des</w:t>
      </w:r>
      <w:r w:rsidRPr="007C10ED">
        <w:rPr>
          <w:color w:val="000000"/>
          <w:szCs w:val="24"/>
          <w:lang w:eastAsia="fr-FR" w:bidi="fr-FR"/>
        </w:rPr>
        <w:t xml:space="preserve"> ▌</w:t>
      </w:r>
      <w:r w:rsidRPr="007C10ED">
        <w:rPr>
          <w:szCs w:val="24"/>
          <w:lang w:eastAsia="fr-FR" w:bidi="fr-FR"/>
        </w:rPr>
        <w:t xml:space="preserve">questions </w:t>
      </w:r>
      <w:r w:rsidRPr="007C10ED">
        <w:rPr>
          <w:b/>
          <w:i/>
          <w:color w:val="000000"/>
          <w:szCs w:val="24"/>
          <w:lang w:eastAsia="fr-FR" w:bidi="fr-FR"/>
        </w:rPr>
        <w:t>liées au genre, à l'éthique, aux sciences sociales et humaines et à</w:t>
      </w:r>
      <w:r w:rsidRPr="007C10ED">
        <w:rPr>
          <w:szCs w:val="24"/>
          <w:lang w:eastAsia="fr-FR" w:bidi="fr-FR"/>
        </w:rPr>
        <w:t xml:space="preserve"> la vie privée.</w:t>
      </w:r>
      <w:r w:rsidRPr="007C10ED">
        <w:rPr>
          <w:b/>
          <w:i/>
          <w:color w:val="000000"/>
          <w:szCs w:val="24"/>
          <w:lang w:eastAsia="fr-FR" w:bidi="fr-FR"/>
        </w:rPr>
        <w:t xml:space="preserve"> Il est également tenu compte de la législation pertinente au niveau de l'Union et au niveau national, ainsi que des</w:t>
      </w:r>
      <w:r w:rsidRPr="007C10ED">
        <w:rPr>
          <w:szCs w:val="24"/>
          <w:lang w:eastAsia="fr-FR" w:bidi="fr-FR"/>
        </w:rPr>
        <w:t xml:space="preserve"> lignes directrices internationales</w:t>
      </w:r>
      <w:r w:rsidRPr="007C10ED">
        <w:rPr>
          <w:b/>
          <w:i/>
          <w:color w:val="000000"/>
          <w:szCs w:val="24"/>
          <w:lang w:eastAsia="fr-FR" w:bidi="fr-FR"/>
        </w:rPr>
        <w:t>, en particulier en ce qui concerne le droit au respect de la vie privée et le droit à la protection des données.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7.</w:t>
      </w:r>
      <w:r w:rsidRPr="007C10ED">
        <w:rPr>
          <w:szCs w:val="24"/>
          <w:lang w:eastAsia="fr-FR" w:bidi="fr-FR"/>
        </w:rPr>
        <w:tab/>
        <w:t xml:space="preserve">En ligne avec la proximité du programme AVA à l'égard du marché et conformément aux règles énoncées dans le règlement (UE, Euratom) n° 966/2012, l'AALA </w:t>
      </w:r>
      <w:r w:rsidRPr="007C10ED">
        <w:rPr>
          <w:b/>
          <w:bCs/>
          <w:i/>
          <w:iCs/>
          <w:szCs w:val="24"/>
          <w:lang w:eastAsia="fr-FR" w:bidi="fr-FR"/>
        </w:rPr>
        <w:t>veille</w:t>
      </w:r>
      <w:r w:rsidRPr="007C10ED">
        <w:rPr>
          <w:szCs w:val="24"/>
          <w:lang w:eastAsia="fr-FR" w:bidi="fr-FR"/>
        </w:rPr>
        <w:t xml:space="preserve"> </w:t>
      </w:r>
      <w:r w:rsidRPr="007C10ED">
        <w:rPr>
          <w:b/>
          <w:i/>
          <w:color w:val="000000"/>
          <w:szCs w:val="24"/>
          <w:lang w:eastAsia="fr-FR" w:bidi="fr-FR"/>
        </w:rPr>
        <w:t xml:space="preserve">à ce que les </w:t>
      </w:r>
      <w:r w:rsidRPr="007C10ED">
        <w:rPr>
          <w:szCs w:val="24"/>
          <w:lang w:eastAsia="fr-FR" w:bidi="fr-FR"/>
        </w:rPr>
        <w:t>délais d'engagement et les délais de paiement soient conformes au règlement (UE) n° 1290/2013 et veille à ce que les États participants les respectent durant la mise en œuvre du programme ALA.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8.</w:t>
      </w:r>
      <w:r w:rsidRPr="007C10ED">
        <w:rPr>
          <w:szCs w:val="24"/>
          <w:lang w:eastAsia="fr-FR" w:bidi="fr-FR"/>
        </w:rPr>
        <w:tab/>
        <w:t xml:space="preserve">Chaque État participant </w:t>
      </w:r>
      <w:r w:rsidRPr="007C10ED">
        <w:rPr>
          <w:b/>
          <w:i/>
          <w:color w:val="000000"/>
          <w:szCs w:val="24"/>
          <w:lang w:eastAsia="fr-FR" w:bidi="fr-FR"/>
        </w:rPr>
        <w:t>encourage fortement, dès le stade le plus précoce de tous les projets de recherche et d'innovation,</w:t>
      </w:r>
      <w:r w:rsidRPr="007C10ED">
        <w:rPr>
          <w:szCs w:val="24"/>
          <w:lang w:eastAsia="fr-FR" w:bidi="fr-FR"/>
        </w:rPr>
        <w:t xml:space="preserve"> la participation des organisations représentant les acteurs de la demande</w:t>
      </w:r>
      <w:r w:rsidRPr="007C10ED">
        <w:rPr>
          <w:b/>
          <w:i/>
          <w:color w:val="000000"/>
          <w:szCs w:val="24"/>
          <w:lang w:eastAsia="fr-FR" w:bidi="fr-FR"/>
        </w:rPr>
        <w:t>, y compris les utilisateurs finaux</w:t>
      </w:r>
      <w:r w:rsidRPr="007C10ED">
        <w:rPr>
          <w:szCs w:val="24"/>
          <w:lang w:eastAsia="fr-FR" w:bidi="fr-FR"/>
        </w:rPr>
        <w: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9.</w:t>
      </w:r>
      <w:r w:rsidRPr="007C10ED">
        <w:rPr>
          <w:szCs w:val="24"/>
          <w:lang w:eastAsia="fr-FR" w:bidi="fr-FR"/>
        </w:rPr>
        <w:tab/>
        <w:t xml:space="preserve">Chaque État participant cofinance </w:t>
      </w:r>
      <w:r w:rsidRPr="007C10ED">
        <w:rPr>
          <w:b/>
          <w:i/>
          <w:color w:val="000000"/>
          <w:szCs w:val="24"/>
          <w:lang w:eastAsia="fr-FR" w:bidi="fr-FR"/>
        </w:rPr>
        <w:t>ses</w:t>
      </w:r>
      <w:r w:rsidRPr="007C10ED">
        <w:rPr>
          <w:szCs w:val="24"/>
          <w:lang w:eastAsia="fr-FR" w:bidi="fr-FR"/>
        </w:rPr>
        <w:t xml:space="preserve"> participants </w:t>
      </w:r>
      <w:r w:rsidRPr="007C10ED">
        <w:rPr>
          <w:b/>
          <w:i/>
          <w:color w:val="000000"/>
          <w:szCs w:val="24"/>
          <w:lang w:eastAsia="fr-FR" w:bidi="fr-FR"/>
        </w:rPr>
        <w:t>nationaux dont les propositions sont retenues</w:t>
      </w:r>
      <w:r w:rsidRPr="007C10ED">
        <w:rPr>
          <w:szCs w:val="24"/>
          <w:lang w:eastAsia="fr-FR" w:bidi="fr-FR"/>
        </w:rPr>
        <w:t xml:space="preserve"> par l'intermédiaire</w:t>
      </w:r>
      <w:r w:rsidRPr="007C10ED">
        <w:rPr>
          <w:color w:val="000000"/>
          <w:szCs w:val="24"/>
          <w:lang w:eastAsia="fr-FR" w:bidi="fr-FR"/>
        </w:rPr>
        <w:t xml:space="preserve"> ▌</w:t>
      </w:r>
      <w:r w:rsidRPr="007C10ED">
        <w:rPr>
          <w:szCs w:val="24"/>
          <w:lang w:eastAsia="fr-FR" w:bidi="fr-FR"/>
        </w:rPr>
        <w:t>d'organismes</w:t>
      </w:r>
      <w:r w:rsidRPr="007C10ED">
        <w:rPr>
          <w:color w:val="000000"/>
          <w:szCs w:val="24"/>
          <w:lang w:eastAsia="fr-FR" w:bidi="fr-FR"/>
        </w:rPr>
        <w:t xml:space="preserve"> ▌</w:t>
      </w:r>
      <w:r w:rsidRPr="007C10ED">
        <w:rPr>
          <w:szCs w:val="24"/>
          <w:lang w:eastAsia="fr-FR" w:bidi="fr-FR"/>
        </w:rPr>
        <w:t xml:space="preserve">nationaux, </w:t>
      </w:r>
      <w:r w:rsidRPr="007C10ED">
        <w:rPr>
          <w:b/>
          <w:i/>
          <w:color w:val="000000"/>
          <w:szCs w:val="24"/>
          <w:lang w:eastAsia="fr-FR" w:bidi="fr-FR"/>
        </w:rPr>
        <w:t>qui</w:t>
      </w:r>
      <w:r w:rsidRPr="007C10ED">
        <w:rPr>
          <w:szCs w:val="24"/>
          <w:lang w:eastAsia="fr-FR" w:bidi="fr-FR"/>
        </w:rPr>
        <w:t xml:space="preserve"> transfèrent </w:t>
      </w:r>
      <w:r w:rsidRPr="007C10ED">
        <w:rPr>
          <w:b/>
          <w:i/>
          <w:color w:val="000000"/>
          <w:szCs w:val="24"/>
          <w:lang w:eastAsia="fr-FR" w:bidi="fr-FR"/>
        </w:rPr>
        <w:t>en outre</w:t>
      </w:r>
      <w:r w:rsidRPr="007C10ED">
        <w:rPr>
          <w:szCs w:val="24"/>
          <w:lang w:eastAsia="fr-FR" w:bidi="fr-FR"/>
        </w:rPr>
        <w:t xml:space="preserve"> les montants du </w:t>
      </w:r>
      <w:r w:rsidRPr="007C10ED">
        <w:rPr>
          <w:b/>
          <w:i/>
          <w:color w:val="000000"/>
          <w:szCs w:val="24"/>
          <w:lang w:eastAsia="fr-FR" w:bidi="fr-FR"/>
        </w:rPr>
        <w:t>co</w:t>
      </w:r>
      <w:r w:rsidRPr="007C10ED">
        <w:rPr>
          <w:szCs w:val="24"/>
          <w:lang w:eastAsia="fr-FR" w:bidi="fr-FR"/>
        </w:rPr>
        <w:t xml:space="preserve">financement de l'Union depuis la </w:t>
      </w:r>
      <w:r w:rsidRPr="007C10ED">
        <w:rPr>
          <w:b/>
          <w:i/>
          <w:color w:val="000000"/>
          <w:szCs w:val="24"/>
          <w:lang w:eastAsia="fr-FR" w:bidi="fr-FR"/>
        </w:rPr>
        <w:t>structure d'exécution spécifique</w:t>
      </w:r>
      <w:r w:rsidRPr="007C10ED">
        <w:rPr>
          <w:szCs w:val="24"/>
          <w:lang w:eastAsia="fr-FR" w:bidi="fr-FR"/>
        </w:rPr>
        <w:t xml:space="preserve">, sur la base d'une description du projet commun, qui fait partie intégrante d'une convention à conclure entre les organismes </w:t>
      </w:r>
      <w:r w:rsidRPr="007C10ED">
        <w:rPr>
          <w:b/>
          <w:i/>
          <w:color w:val="000000"/>
          <w:szCs w:val="24"/>
          <w:lang w:eastAsia="fr-FR" w:bidi="fr-FR"/>
        </w:rPr>
        <w:t>respectifs</w:t>
      </w:r>
      <w:r w:rsidRPr="007C10ED">
        <w:rPr>
          <w:szCs w:val="24"/>
          <w:lang w:eastAsia="fr-FR" w:bidi="fr-FR"/>
        </w:rPr>
        <w:t xml:space="preserve"> de gestion du programme national et </w:t>
      </w:r>
      <w:r w:rsidRPr="007C10ED">
        <w:rPr>
          <w:b/>
          <w:i/>
          <w:color w:val="000000"/>
          <w:szCs w:val="24"/>
          <w:lang w:eastAsia="fr-FR" w:bidi="fr-FR"/>
        </w:rPr>
        <w:t>leurs</w:t>
      </w:r>
      <w:r w:rsidRPr="007C10ED">
        <w:rPr>
          <w:szCs w:val="24"/>
          <w:lang w:eastAsia="fr-FR" w:bidi="fr-FR"/>
        </w:rPr>
        <w:t xml:space="preserve"> participants </w:t>
      </w:r>
      <w:r w:rsidRPr="007C10ED">
        <w:rPr>
          <w:b/>
          <w:i/>
          <w:color w:val="000000"/>
          <w:szCs w:val="24"/>
          <w:lang w:eastAsia="fr-FR" w:bidi="fr-FR"/>
        </w:rPr>
        <w:t>nationaux</w:t>
      </w:r>
      <w:r w:rsidRPr="007C10ED">
        <w:rPr>
          <w:szCs w:val="24"/>
          <w:lang w:eastAsia="fr-FR" w:bidi="fr-FR"/>
        </w:rPr>
        <w:t xml:space="preserve"> pour chaque</w:t>
      </w:r>
      <w:r w:rsidRPr="007C10ED">
        <w:rPr>
          <w:color w:val="000000"/>
          <w:szCs w:val="24"/>
          <w:lang w:eastAsia="fr-FR" w:bidi="fr-FR"/>
        </w:rPr>
        <w:t xml:space="preserve"> ▌</w:t>
      </w:r>
      <w:r w:rsidRPr="007C10ED">
        <w:rPr>
          <w:szCs w:val="24"/>
          <w:lang w:eastAsia="fr-FR" w:bidi="fr-FR"/>
        </w:rPr>
        <w:t>projet.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10.</w:t>
      </w:r>
      <w:r w:rsidRPr="007C10ED">
        <w:rPr>
          <w:szCs w:val="24"/>
          <w:lang w:eastAsia="fr-FR" w:bidi="fr-FR"/>
        </w:rPr>
        <w:tab/>
        <w:t>Après la clôture d'un appel à propositions de projets, l'AALA procède à un contrôle d'éligibilité au niveau central, en coopération avec les organismes de gestion du programme national désigné. Ce contrôle est effectué sur la base des critères d'éligibilité communs pour le programme AVA, qui sont publiés avec l'appel à propositions de projets.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11.</w:t>
      </w:r>
      <w:r w:rsidRPr="007C10ED">
        <w:rPr>
          <w:szCs w:val="24"/>
          <w:lang w:eastAsia="fr-FR" w:bidi="fr-FR"/>
        </w:rPr>
        <w:tab/>
        <w:t xml:space="preserve">L'AALA, assistée par les organismes de gestion du programme national, vérifie que les critères d'éligibilité nationaux supplémentaires, énoncés dans les appels à propositions de projets, sont respectés.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12.</w:t>
      </w:r>
      <w:r w:rsidRPr="007C10ED">
        <w:rPr>
          <w:szCs w:val="24"/>
          <w:lang w:eastAsia="fr-FR" w:bidi="fr-FR"/>
        </w:rPr>
        <w:tab/>
        <w:t>Les critères d'éligibilité nationaux portent uniquement sur le statut juridique et financier des différents candidats et non sur le contenu de la proposition. Ils concernent les aspects suivants:</w:t>
      </w:r>
    </w:p>
    <w:p w:rsidR="002022AB" w:rsidRPr="007C10ED" w:rsidRDefault="002022AB" w:rsidP="00075179">
      <w:pPr>
        <w:tabs>
          <w:tab w:val="left" w:pos="567"/>
        </w:tabs>
        <w:autoSpaceDE w:val="0"/>
        <w:autoSpaceDN w:val="0"/>
        <w:adjustRightInd w:val="0"/>
        <w:spacing w:before="120" w:after="120" w:line="360" w:lineRule="auto"/>
        <w:ind w:left="1418" w:hanging="567"/>
        <w:outlineLvl w:val="0"/>
        <w:rPr>
          <w:szCs w:val="24"/>
          <w:lang w:eastAsia="fr-FR" w:bidi="fr-FR"/>
        </w:rPr>
      </w:pPr>
      <w:r w:rsidRPr="007C10ED">
        <w:rPr>
          <w:szCs w:val="24"/>
          <w:lang w:eastAsia="fr-FR" w:bidi="fr-FR"/>
        </w:rPr>
        <w:t>12.1.</w:t>
      </w:r>
      <w:r w:rsidRPr="007C10ED">
        <w:rPr>
          <w:szCs w:val="24"/>
          <w:lang w:eastAsia="fr-FR" w:bidi="fr-FR"/>
        </w:rPr>
        <w:tab/>
        <w:t>le type de candidat, y compris son statut juridique et sa finalité;</w:t>
      </w:r>
    </w:p>
    <w:p w:rsidR="002022AB" w:rsidRPr="007C10ED" w:rsidRDefault="002022AB" w:rsidP="00075179">
      <w:pPr>
        <w:tabs>
          <w:tab w:val="left" w:pos="567"/>
        </w:tabs>
        <w:autoSpaceDE w:val="0"/>
        <w:autoSpaceDN w:val="0"/>
        <w:adjustRightInd w:val="0"/>
        <w:spacing w:before="120" w:after="120" w:line="360" w:lineRule="auto"/>
        <w:ind w:left="1418" w:hanging="567"/>
        <w:outlineLvl w:val="0"/>
        <w:rPr>
          <w:szCs w:val="24"/>
          <w:lang w:eastAsia="fr-FR" w:bidi="fr-FR"/>
        </w:rPr>
      </w:pPr>
      <w:r w:rsidRPr="007C10ED">
        <w:rPr>
          <w:szCs w:val="24"/>
          <w:lang w:eastAsia="fr-FR" w:bidi="fr-FR"/>
        </w:rPr>
        <w:t>12.2.</w:t>
      </w:r>
      <w:r w:rsidRPr="007C10ED">
        <w:rPr>
          <w:szCs w:val="24"/>
          <w:lang w:eastAsia="fr-FR" w:bidi="fr-FR"/>
        </w:rPr>
        <w:tab/>
        <w:t>la responsabilité et la viabilité, y compris la santé financière et l'acquittement des obligations fiscales et sociales.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r>
      <w:r w:rsidRPr="007C10ED">
        <w:rPr>
          <w:color w:val="000000"/>
          <w:szCs w:val="24"/>
          <w:lang w:eastAsia="fr-FR" w:bidi="fr-FR"/>
        </w:rPr>
        <w:t>13.</w:t>
      </w:r>
      <w:r w:rsidRPr="007C10ED">
        <w:rPr>
          <w:szCs w:val="24"/>
          <w:lang w:eastAsia="fr-FR" w:bidi="fr-FR"/>
        </w:rPr>
        <w:tab/>
        <w:t>Les propositions de projet éligibles sont évaluées</w:t>
      </w:r>
      <w:r w:rsidRPr="007C10ED">
        <w:rPr>
          <w:color w:val="000000"/>
          <w:szCs w:val="24"/>
          <w:lang w:eastAsia="fr-FR" w:bidi="fr-FR"/>
        </w:rPr>
        <w:t xml:space="preserve"> ▌</w:t>
      </w:r>
      <w:r w:rsidRPr="007C10ED">
        <w:rPr>
          <w:szCs w:val="24"/>
          <w:lang w:eastAsia="fr-FR" w:bidi="fr-FR"/>
        </w:rPr>
        <w:t xml:space="preserve">par l'AALA, assistée d'experts indépendants, sur la base de critères d'évaluation communs et transparents, énoncés dans l'appel à propositions publié, </w:t>
      </w:r>
      <w:r w:rsidRPr="007C10ED">
        <w:rPr>
          <w:b/>
          <w:i/>
          <w:color w:val="000000"/>
          <w:szCs w:val="24"/>
          <w:lang w:eastAsia="fr-FR" w:bidi="fr-FR"/>
        </w:rPr>
        <w:t>et une liste de projets classés en fonction de leur résultat est établie</w:t>
      </w:r>
      <w:r w:rsidRPr="007C10ED">
        <w:rPr>
          <w:szCs w:val="24"/>
          <w:lang w:eastAsia="fr-FR" w:bidi="fr-FR"/>
        </w:rPr>
        <w:t>.</w:t>
      </w:r>
      <w:r w:rsidRPr="007C10ED">
        <w:rPr>
          <w:b/>
          <w:i/>
          <w:color w:val="000000"/>
          <w:szCs w:val="24"/>
          <w:lang w:eastAsia="fr-FR" w:bidi="fr-FR"/>
        </w:rPr>
        <w:t xml:space="preserve"> Les projets sont sélectionnés selon ce classement et en tenant compte des fonds disponibles.</w:t>
      </w:r>
      <w:r w:rsidRPr="007C10ED">
        <w:rPr>
          <w:szCs w:val="24"/>
          <w:lang w:eastAsia="fr-FR" w:bidi="fr-FR"/>
        </w:rPr>
        <w:t xml:space="preserve"> Cette sélection, une fois adoptée par l'assemblée générale de l'AALA, est contraignante pour les États participants.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14.</w:t>
      </w:r>
      <w:r w:rsidRPr="007C10ED">
        <w:rPr>
          <w:szCs w:val="24"/>
          <w:lang w:eastAsia="fr-FR" w:bidi="fr-FR"/>
        </w:rPr>
        <w:tab/>
        <w:t>Si un participant au projet ne remplit pas l'un ou plusieurs des critères d'éligibilité nationaux ou si le budget national correspondant à l'engagement de financement est épuisé, le conseil d'administration de l'AALA peut décider de procéder, avec l'aide d'experts indépendants, à une nouvelle évaluation indépendante de la proposition concernée au niveau central, soit sans le participant en question, soit avec un participant de remplacement, comme suggéré par les participants au projet.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color w:val="000000"/>
          <w:szCs w:val="24"/>
          <w:lang w:eastAsia="fr-FR" w:bidi="fr-FR"/>
        </w:rPr>
        <w:t>15.</w:t>
      </w:r>
      <w:r w:rsidRPr="007C10ED">
        <w:rPr>
          <w:szCs w:val="24"/>
          <w:lang w:eastAsia="fr-FR" w:bidi="fr-FR"/>
        </w:rPr>
        <w:tab/>
        <w:t>Les questions juridiques et financières concernant les participants aux projets sélectionnés en vue d'un financement sont traitées par l'organisme de gestion du programme national désigné. Les règles et principes administratifs nationaux sont applicables.</w:t>
      </w:r>
    </w:p>
    <w:p w:rsidR="002022AB" w:rsidRPr="007C10ED" w:rsidRDefault="002022AB" w:rsidP="00075179">
      <w:pPr>
        <w:widowControl w:val="0"/>
        <w:autoSpaceDE w:val="0"/>
        <w:autoSpaceDN w:val="0"/>
        <w:adjustRightInd w:val="0"/>
        <w:spacing w:before="120" w:after="120" w:line="360" w:lineRule="auto"/>
        <w:jc w:val="center"/>
        <w:rPr>
          <w:szCs w:val="24"/>
          <w:lang w:eastAsia="fr-FR" w:bidi="fr-FR"/>
        </w:rPr>
      </w:pPr>
      <w:r w:rsidRPr="007C10ED">
        <w:rPr>
          <w:szCs w:val="24"/>
          <w:lang w:eastAsia="fr-FR" w:bidi="fr-FR"/>
        </w:rPr>
        <w:br w:type="page"/>
        <w:t>ANNEXE III</w:t>
      </w:r>
    </w:p>
    <w:p w:rsidR="002022AB" w:rsidRPr="007C10ED" w:rsidRDefault="002022AB" w:rsidP="00075179">
      <w:pPr>
        <w:widowControl w:val="0"/>
        <w:autoSpaceDE w:val="0"/>
        <w:autoSpaceDN w:val="0"/>
        <w:adjustRightInd w:val="0"/>
        <w:spacing w:before="120" w:after="120" w:line="360" w:lineRule="auto"/>
        <w:jc w:val="center"/>
        <w:rPr>
          <w:szCs w:val="24"/>
          <w:lang w:eastAsia="fr-FR" w:bidi="fr-FR"/>
        </w:rPr>
      </w:pPr>
      <w:r w:rsidRPr="007C10ED">
        <w:rPr>
          <w:szCs w:val="24"/>
          <w:lang w:eastAsia="fr-FR" w:bidi="fr-FR"/>
        </w:rPr>
        <w:t>GOUVERNANCE DU PROGRAMME AVA</w:t>
      </w:r>
    </w:p>
    <w:p w:rsidR="002022AB" w:rsidRPr="007C10ED" w:rsidRDefault="002022AB" w:rsidP="00075179">
      <w:pPr>
        <w:autoSpaceDE w:val="0"/>
        <w:autoSpaceDN w:val="0"/>
        <w:adjustRightInd w:val="0"/>
        <w:spacing w:before="120" w:after="120" w:line="360" w:lineRule="auto"/>
        <w:ind w:left="567" w:hanging="567"/>
        <w:rPr>
          <w:szCs w:val="24"/>
          <w:lang w:eastAsia="fr-FR" w:bidi="fr-FR"/>
        </w:rPr>
      </w:pPr>
      <w:r w:rsidRPr="007C10ED">
        <w:rPr>
          <w:szCs w:val="24"/>
          <w:lang w:eastAsia="fr-FR" w:bidi="fr-FR"/>
        </w:rPr>
        <w:t>La structure organisationnelle du programme AVA est la suivante:</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1.</w:t>
      </w:r>
      <w:r w:rsidRPr="007C10ED">
        <w:rPr>
          <w:szCs w:val="24"/>
          <w:lang w:eastAsia="fr-FR" w:bidi="fr-FR"/>
        </w:rPr>
        <w:tab/>
        <w:t>L'AALA constitue la structure d'exécution spécifique créée par les États participants.</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2.</w:t>
      </w:r>
      <w:r w:rsidRPr="007C10ED">
        <w:rPr>
          <w:szCs w:val="24"/>
          <w:lang w:eastAsia="fr-FR" w:bidi="fr-FR"/>
        </w:rPr>
        <w:tab/>
        <w:t>L'AALA est responsable de toutes les activités relevant du programme AVA. Les tâches de l'AALA comprennent la gestion des contrats et du budget, l'élaboration des plans de travail annuels, l'organisation des appels à propositions, la réalisation de l'évaluation et le classement des projets en vue d'un financement.</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3.</w:t>
      </w:r>
      <w:r w:rsidRPr="007C10ED">
        <w:rPr>
          <w:szCs w:val="24"/>
          <w:lang w:eastAsia="fr-FR" w:bidi="fr-FR"/>
        </w:rPr>
        <w:tab/>
        <w:t>En outre, l'AALA supervise les projets et en assume la responsabilité, et transfère les montants correspondants des contributions de l'Union aux organismes de gestion du programme national désigné. Elle organise aussi des activités de diffusion.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4.</w:t>
      </w:r>
      <w:r w:rsidRPr="007C10ED">
        <w:rPr>
          <w:szCs w:val="24"/>
          <w:lang w:eastAsia="fr-FR" w:bidi="fr-FR"/>
        </w:rPr>
        <w:tab/>
        <w:t xml:space="preserve">L'AALA est dirigée par l'assemblée générale. L'assemblée générale est l'organe décisionnaire du programme AVA. Elle nomme les membres du conseil d'administration et supervise la mise en œuvre du programme AVA, y compris l'approbation </w:t>
      </w:r>
      <w:r w:rsidRPr="007C10ED">
        <w:rPr>
          <w:b/>
          <w:i/>
          <w:color w:val="000000"/>
          <w:szCs w:val="24"/>
          <w:lang w:eastAsia="fr-FR" w:bidi="fr-FR"/>
        </w:rPr>
        <w:t>de la stratégie et</w:t>
      </w:r>
      <w:r w:rsidRPr="007C10ED">
        <w:rPr>
          <w:szCs w:val="24"/>
          <w:lang w:eastAsia="fr-FR" w:bidi="fr-FR"/>
        </w:rPr>
        <w:t xml:space="preserve"> des plans de travail annuels, l'attribution des fonds nationaux aux projets et le traitement des nouvelles demandes de participation. Elle fonctionne selon le principe d'une voix par pays. Les décisions sont prises à la majorité simple, sauf en cas de décisions relatives à la succession, l'admission ou l'exclusion de membres ou à la dissolution de l'AALA, pour lesquelles des exigences de vote particulières peuvent être définies dans les statuts de l'AALA.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5.</w:t>
      </w:r>
      <w:r w:rsidRPr="007C10ED">
        <w:rPr>
          <w:szCs w:val="24"/>
          <w:lang w:eastAsia="fr-FR" w:bidi="fr-FR"/>
        </w:rPr>
        <w:tab/>
        <w:t>La Commission jouit d'un statut d'observateur aux réunions de l'assemblée générale de l'AALA et approuve le plan de travail annuel. La Commission est invitée à toutes les réunions de l'AALA et peut prendre part aux discussions. Tous les documents pertinents diffusés en lien avec l'assemblée générale de l'AALA sont communiqués à la Commission.</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br w:type="page"/>
        <w:t>6.</w:t>
      </w:r>
      <w:r w:rsidRPr="007C10ED">
        <w:rPr>
          <w:szCs w:val="24"/>
          <w:lang w:eastAsia="fr-FR" w:bidi="fr-FR"/>
        </w:rPr>
        <w:tab/>
        <w:t xml:space="preserve">Le conseil d'administration de l'AALA </w:t>
      </w:r>
      <w:r w:rsidRPr="007C10ED">
        <w:rPr>
          <w:szCs w:val="24"/>
          <w:lang w:eastAsia="fr-FR" w:bidi="fr-FR"/>
        </w:rPr>
        <w:noBreakHyphen/>
        <w:t xml:space="preserve"> composé au minimum d'un président, d'un vice</w:t>
      </w:r>
      <w:r w:rsidRPr="007C10ED">
        <w:rPr>
          <w:szCs w:val="24"/>
          <w:lang w:eastAsia="fr-FR" w:bidi="fr-FR"/>
        </w:rPr>
        <w:noBreakHyphen/>
        <w:t xml:space="preserve">président, d'un trésorier </w:t>
      </w:r>
      <w:r w:rsidRPr="007C10ED">
        <w:rPr>
          <w:b/>
          <w:i/>
          <w:color w:val="000000"/>
          <w:szCs w:val="24"/>
          <w:lang w:eastAsia="fr-FR" w:bidi="fr-FR"/>
        </w:rPr>
        <w:t>et d'un trésorier adjoint</w:t>
      </w:r>
      <w:r w:rsidRPr="007C10ED">
        <w:rPr>
          <w:szCs w:val="24"/>
          <w:lang w:eastAsia="fr-FR" w:bidi="fr-FR"/>
        </w:rPr>
        <w:t xml:space="preserve"> </w:t>
      </w:r>
      <w:r w:rsidRPr="007C10ED">
        <w:rPr>
          <w:szCs w:val="24"/>
          <w:lang w:eastAsia="fr-FR" w:bidi="fr-FR"/>
        </w:rPr>
        <w:noBreakHyphen/>
        <w:t xml:space="preserve"> est élu par l'assemblée générale de l'AALA pour assumer des responsabilités spécifiques en matière de gestion comme la programmation budgétaire, la dotation en personnel et la passation de contrats. Il est le représentant légal de l'AALA et rend compte à l'assemblée générale de l'AALA.</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7.</w:t>
      </w:r>
      <w:r w:rsidRPr="007C10ED">
        <w:rPr>
          <w:szCs w:val="24"/>
          <w:lang w:eastAsia="fr-FR" w:bidi="fr-FR"/>
        </w:rPr>
        <w:tab/>
        <w:t xml:space="preserve">L'unité de gestion centrale, instituée en tant que composante de l'AALA, a la responsabilité de gérer la mise en œuvre du programme AVA au niveau central, en étroite coordination et coopération avec les organismes de gestion du programme national, qui sont habilités par les États participants à entreprendre des travaux relatifs à la gestion de projet et aux aspects administratifs et juridiques concernant les participants nationaux à un projet et à contribuer à l'évaluation et à la négociation des propositions de projets. L'unité de gestion centrale et les organismes de gestion du programme national collaborent en tant qu'unité de gestion sous la supervision de l'AALA. </w:t>
      </w:r>
    </w:p>
    <w:p w:rsidR="002022AB" w:rsidRPr="007C10ED" w:rsidRDefault="002022AB" w:rsidP="00075179">
      <w:pPr>
        <w:autoSpaceDE w:val="0"/>
        <w:autoSpaceDN w:val="0"/>
        <w:adjustRightInd w:val="0"/>
        <w:spacing w:before="120" w:after="120" w:line="360" w:lineRule="auto"/>
        <w:ind w:left="851" w:hanging="851"/>
        <w:rPr>
          <w:szCs w:val="24"/>
          <w:lang w:eastAsia="fr-FR" w:bidi="fr-FR"/>
        </w:rPr>
      </w:pPr>
      <w:r w:rsidRPr="007C10ED">
        <w:rPr>
          <w:szCs w:val="24"/>
          <w:lang w:eastAsia="fr-FR" w:bidi="fr-FR"/>
        </w:rPr>
        <w:t>8.</w:t>
      </w:r>
      <w:r w:rsidRPr="007C10ED">
        <w:rPr>
          <w:szCs w:val="24"/>
          <w:lang w:eastAsia="fr-FR" w:bidi="fr-FR"/>
        </w:rPr>
        <w:tab/>
      </w:r>
      <w:r w:rsidRPr="007C10ED">
        <w:rPr>
          <w:b/>
          <w:i/>
          <w:color w:val="000000"/>
          <w:szCs w:val="24"/>
          <w:lang w:eastAsia="fr-FR" w:bidi="fr-FR"/>
        </w:rPr>
        <w:t>L'AALA crée</w:t>
      </w:r>
      <w:r w:rsidRPr="007C10ED">
        <w:rPr>
          <w:szCs w:val="24"/>
          <w:lang w:eastAsia="fr-FR" w:bidi="fr-FR"/>
        </w:rPr>
        <w:t xml:space="preserve"> un conseil consultatif composé de représentants des entreprises, des utilisateurs et d'autres parties </w:t>
      </w:r>
      <w:r w:rsidRPr="007C10ED">
        <w:rPr>
          <w:b/>
          <w:i/>
          <w:color w:val="000000"/>
          <w:szCs w:val="24"/>
          <w:lang w:eastAsia="fr-FR" w:bidi="fr-FR"/>
        </w:rPr>
        <w:t>intéressées</w:t>
      </w:r>
      <w:r w:rsidRPr="007C10ED">
        <w:rPr>
          <w:szCs w:val="24"/>
          <w:lang w:eastAsia="fr-FR" w:bidi="fr-FR"/>
        </w:rPr>
        <w:t>, en recherchant un équilibre entre générations et entre hommes et femmes.</w:t>
      </w:r>
      <w:r w:rsidRPr="007C10ED">
        <w:rPr>
          <w:b/>
          <w:i/>
          <w:color w:val="000000"/>
          <w:szCs w:val="24"/>
          <w:lang w:eastAsia="fr-FR" w:bidi="fr-FR"/>
        </w:rPr>
        <w:t xml:space="preserve"> Ce conseil consultatif</w:t>
      </w:r>
      <w:r w:rsidRPr="007C10ED">
        <w:rPr>
          <w:szCs w:val="24"/>
          <w:lang w:eastAsia="fr-FR" w:bidi="fr-FR"/>
        </w:rPr>
        <w:t xml:space="preserve"> formule </w:t>
      </w:r>
      <w:r w:rsidRPr="007C10ED">
        <w:rPr>
          <w:b/>
          <w:i/>
          <w:color w:val="000000"/>
          <w:szCs w:val="24"/>
          <w:lang w:eastAsia="fr-FR" w:bidi="fr-FR"/>
        </w:rPr>
        <w:t>à l'attention de l'AALA</w:t>
      </w:r>
      <w:r w:rsidRPr="007C10ED">
        <w:rPr>
          <w:szCs w:val="24"/>
          <w:lang w:eastAsia="fr-FR" w:bidi="fr-FR"/>
        </w:rPr>
        <w:t xml:space="preserve"> des recommandations </w:t>
      </w:r>
      <w:r w:rsidRPr="007C10ED">
        <w:rPr>
          <w:b/>
          <w:i/>
          <w:color w:val="000000"/>
          <w:szCs w:val="24"/>
          <w:lang w:eastAsia="fr-FR" w:bidi="fr-FR"/>
        </w:rPr>
        <w:t>sur la stratégie globale du programme, concernant</w:t>
      </w:r>
      <w:r w:rsidRPr="007C10ED">
        <w:rPr>
          <w:szCs w:val="24"/>
          <w:lang w:eastAsia="fr-FR" w:bidi="fr-FR"/>
        </w:rPr>
        <w:t xml:space="preserve"> les priorités et sujets à traiter dans les appels à propositions et </w:t>
      </w:r>
      <w:r w:rsidRPr="007C10ED">
        <w:rPr>
          <w:b/>
          <w:i/>
          <w:color w:val="000000"/>
          <w:szCs w:val="24"/>
          <w:lang w:eastAsia="fr-FR" w:bidi="fr-FR"/>
        </w:rPr>
        <w:t>concernant</w:t>
      </w:r>
      <w:r w:rsidRPr="007C10ED">
        <w:rPr>
          <w:szCs w:val="24"/>
          <w:lang w:eastAsia="fr-FR" w:bidi="fr-FR"/>
        </w:rPr>
        <w:t xml:space="preserve"> d'autres actions </w:t>
      </w:r>
      <w:r w:rsidRPr="007C10ED">
        <w:rPr>
          <w:b/>
          <w:i/>
          <w:color w:val="000000"/>
          <w:szCs w:val="24"/>
          <w:lang w:eastAsia="fr-FR" w:bidi="fr-FR"/>
        </w:rPr>
        <w:t>pertinentes</w:t>
      </w:r>
      <w:r w:rsidRPr="007C10ED">
        <w:rPr>
          <w:szCs w:val="24"/>
          <w:lang w:eastAsia="fr-FR" w:bidi="fr-FR"/>
        </w:rPr>
        <w:t xml:space="preserve"> au titre du programme AVA.</w:t>
      </w:r>
    </w:p>
    <w:p w:rsidR="002022AB" w:rsidRPr="007C10ED" w:rsidRDefault="002022AB" w:rsidP="00075179">
      <w:pPr>
        <w:pBdr>
          <w:bottom w:val="single" w:sz="4" w:space="0" w:color="000000"/>
        </w:pBdr>
        <w:spacing w:before="360" w:after="120" w:line="360" w:lineRule="auto"/>
        <w:ind w:left="3400" w:right="3400"/>
        <w:jc w:val="center"/>
        <w:rPr>
          <w:b/>
          <w:szCs w:val="24"/>
          <w:lang w:eastAsia="fr-FR" w:bidi="fr-FR"/>
        </w:rPr>
      </w:pPr>
    </w:p>
    <w:p w:rsidR="002022AB" w:rsidRPr="007C10ED" w:rsidRDefault="002022AB" w:rsidP="00075179">
      <w:pPr>
        <w:pStyle w:val="Normal12Hanging"/>
        <w:widowControl/>
        <w:rPr>
          <w:szCs w:val="24"/>
        </w:rPr>
      </w:pPr>
    </w:p>
    <w:p w:rsidR="002022AB" w:rsidRDefault="002022AB">
      <w:pPr>
        <w:rPr>
          <w:noProof w:val="0"/>
        </w:rPr>
        <w:sectPr w:rsidR="002022AB" w:rsidSect="002022AB">
          <w:footerReference w:type="even" r:id="rId20"/>
          <w:footerReference w:type="default" r:id="rId21"/>
          <w:footnotePr>
            <w:numRestart w:val="eachPage"/>
          </w:footnotePr>
          <w:pgSz w:w="11907" w:h="16840" w:code="9"/>
          <w:pgMar w:top="1134" w:right="1247" w:bottom="1814" w:left="1418" w:header="720" w:footer="0" w:gutter="0"/>
          <w:cols w:space="720"/>
        </w:sectPr>
      </w:pPr>
    </w:p>
    <w:p w:rsidR="002022AB" w:rsidRDefault="002022AB" w:rsidP="00075179">
      <w:pPr>
        <w:pStyle w:val="ATHeading1"/>
      </w:pPr>
      <w:bookmarkStart w:id="25" w:name="_Toc385342984"/>
      <w:bookmarkStart w:id="26" w:name="_Toc385343059"/>
      <w:r>
        <w:t>P7_TA-PROV(2014)0364</w:t>
      </w:r>
      <w:bookmarkEnd w:id="25"/>
      <w:bookmarkEnd w:id="26"/>
    </w:p>
    <w:p w:rsidR="002022AB" w:rsidRDefault="002022AB" w:rsidP="00075179">
      <w:pPr>
        <w:pStyle w:val="ATHeading2"/>
      </w:pPr>
      <w:bookmarkStart w:id="27" w:name="_Toc385342985"/>
      <w:bookmarkStart w:id="28" w:name="_Toc385343060"/>
      <w:r w:rsidRPr="00104FFB">
        <w:t>Programme de recherche et développement en faveur des petites et moyennes entreprises exerçant des activités de recherch</w:t>
      </w:r>
      <w:r>
        <w:t>e ***I</w:t>
      </w:r>
      <w:bookmarkEnd w:id="27"/>
      <w:bookmarkEnd w:id="28"/>
    </w:p>
    <w:p w:rsidR="002022AB" w:rsidRPr="0087620F" w:rsidRDefault="002022AB" w:rsidP="00075179">
      <w:pPr>
        <w:rPr>
          <w:i/>
          <w:vanish/>
        </w:rPr>
      </w:pPr>
      <w:r w:rsidRPr="0087620F">
        <w:rPr>
          <w:i/>
        </w:rPr>
        <w:fldChar w:fldCharType="begin"/>
      </w:r>
      <w:r w:rsidRPr="0087620F">
        <w:rPr>
          <w:i/>
        </w:rPr>
        <w:instrText xml:space="preserve"> </w:instrText>
      </w:r>
      <w:r w:rsidRPr="002022AB">
        <w:rPr>
          <w:i/>
        </w:rPr>
        <w:instrText>TC</w:instrText>
      </w:r>
      <w:r w:rsidRPr="0087620F">
        <w:rPr>
          <w:i/>
        </w:rPr>
        <w:instrText>"</w:instrText>
      </w:r>
      <w:bookmarkStart w:id="29" w:name="_Toc385342986"/>
      <w:bookmarkStart w:id="30" w:name="_Toc385343061"/>
      <w:r w:rsidRPr="0087620F">
        <w:rPr>
          <w:i/>
        </w:rPr>
        <w:instrText>(A7-0077/2014 - Rapporteur: Miloslav Ransdorf)</w:instrText>
      </w:r>
      <w:bookmarkEnd w:id="29"/>
      <w:bookmarkEnd w:id="30"/>
      <w:r w:rsidRPr="0087620F">
        <w:rPr>
          <w:i/>
        </w:rPr>
        <w:instrText xml:space="preserve">"\l3 \n&gt; \* MERGEFORMAT </w:instrText>
      </w:r>
      <w:r w:rsidRPr="0087620F">
        <w:rPr>
          <w:i/>
        </w:rPr>
        <w:fldChar w:fldCharType="end"/>
      </w:r>
    </w:p>
    <w:p w:rsidR="002022AB" w:rsidRDefault="002022AB" w:rsidP="00075179">
      <w:pPr>
        <w:rPr>
          <w:vanish/>
        </w:rPr>
      </w:pPr>
      <w:r w:rsidRPr="00077F45">
        <w:rPr>
          <w:vanish/>
        </w:rPr>
        <w:t>Commission de l'industrie, de la recherche et de l'énergie</w:t>
      </w:r>
    </w:p>
    <w:p w:rsidR="002022AB" w:rsidRDefault="002022AB" w:rsidP="00075179">
      <w:pPr>
        <w:rPr>
          <w:vanish/>
        </w:rPr>
      </w:pPr>
      <w:r w:rsidRPr="00077F45">
        <w:rPr>
          <w:vanish/>
        </w:rPr>
        <w:t>PE522.920</w:t>
      </w:r>
    </w:p>
    <w:p w:rsidR="002022AB" w:rsidRDefault="002022AB" w:rsidP="00075179">
      <w:pPr>
        <w:pStyle w:val="ATHeading3"/>
      </w:pPr>
      <w:bookmarkStart w:id="31" w:name="_Toc385343062"/>
      <w:r>
        <w:t>Résolution législative du Parlement européen du 15 avril 2014 sur la proposition de décision du Parlement européen et du Conseil relative à la participation de l'Union à un programme de recherche et développement entrepris conjointement par plusieurs États membres pour soutenir les petites et moyennes entreprises exerçant des activités de recherche (COM(2013)0493 – C7-0220/2013 – 2013/0232(COD))</w:t>
      </w:r>
      <w:bookmarkEnd w:id="31"/>
    </w:p>
    <w:p w:rsidR="002022AB" w:rsidRDefault="002022AB" w:rsidP="00075179"/>
    <w:p w:rsidR="002022AB" w:rsidRPr="00624FEC" w:rsidRDefault="002022AB" w:rsidP="00075179">
      <w:pPr>
        <w:pStyle w:val="Normal12Bold"/>
        <w:rPr>
          <w:szCs w:val="24"/>
        </w:rPr>
      </w:pPr>
      <w:r w:rsidRPr="00624FEC">
        <w:rPr>
          <w:noProof/>
          <w:szCs w:val="24"/>
        </w:rPr>
        <w:t>(Procédure législative ordinaire:</w:t>
      </w:r>
      <w:r w:rsidRPr="00624FEC">
        <w:rPr>
          <w:szCs w:val="24"/>
        </w:rPr>
        <w:t xml:space="preserve"> </w:t>
      </w:r>
      <w:r w:rsidRPr="00624FEC">
        <w:rPr>
          <w:noProof/>
          <w:szCs w:val="24"/>
        </w:rPr>
        <w:t>première lecture)</w:t>
      </w:r>
    </w:p>
    <w:p w:rsidR="002022AB" w:rsidRPr="00624FEC" w:rsidRDefault="002022AB" w:rsidP="00075179">
      <w:pPr>
        <w:pStyle w:val="Normal12"/>
        <w:spacing w:before="360"/>
        <w:rPr>
          <w:szCs w:val="24"/>
        </w:rPr>
      </w:pPr>
      <w:r w:rsidRPr="00624FEC">
        <w:rPr>
          <w:i/>
          <w:noProof/>
          <w:szCs w:val="24"/>
        </w:rPr>
        <w:t>Le Parlement européen</w:t>
      </w:r>
      <w:r w:rsidRPr="00624FEC">
        <w:rPr>
          <w:noProof/>
          <w:szCs w:val="24"/>
        </w:rPr>
        <w:t>,</w:t>
      </w:r>
    </w:p>
    <w:p w:rsidR="002022AB" w:rsidRPr="00624FEC" w:rsidRDefault="002022AB" w:rsidP="00075179">
      <w:pPr>
        <w:pStyle w:val="Normal12Hanging"/>
        <w:widowControl/>
        <w:rPr>
          <w:szCs w:val="24"/>
        </w:rPr>
      </w:pPr>
      <w:r w:rsidRPr="00624FEC">
        <w:rPr>
          <w:szCs w:val="24"/>
        </w:rPr>
        <w:t>–</w:t>
      </w:r>
      <w:r w:rsidRPr="00624FEC">
        <w:rPr>
          <w:szCs w:val="24"/>
        </w:rPr>
        <w:tab/>
      </w:r>
      <w:r w:rsidRPr="00624FEC">
        <w:rPr>
          <w:noProof/>
          <w:szCs w:val="24"/>
        </w:rPr>
        <w:t>vu la proposition de la Commission au Parlement européen et au Conseil (COM(2013)0493),</w:t>
      </w:r>
    </w:p>
    <w:p w:rsidR="002022AB" w:rsidRPr="00624FEC" w:rsidRDefault="002022AB" w:rsidP="00075179">
      <w:pPr>
        <w:pStyle w:val="Normal12Hanging"/>
        <w:widowControl/>
        <w:rPr>
          <w:szCs w:val="24"/>
        </w:rPr>
      </w:pPr>
      <w:r w:rsidRPr="00624FEC">
        <w:rPr>
          <w:szCs w:val="24"/>
        </w:rPr>
        <w:t>–</w:t>
      </w:r>
      <w:r w:rsidRPr="00624FEC">
        <w:rPr>
          <w:szCs w:val="24"/>
        </w:rPr>
        <w:tab/>
      </w:r>
      <w:r w:rsidRPr="00624FEC">
        <w:rPr>
          <w:noProof/>
          <w:szCs w:val="24"/>
        </w:rPr>
        <w:t xml:space="preserve">vu l'article 294, paragraphe 2, l'article 185, paragraphe 1, et l'article 188, deuxième </w:t>
      </w:r>
      <w:r>
        <w:rPr>
          <w:noProof/>
          <w:szCs w:val="24"/>
        </w:rPr>
        <w:t>alinéa</w:t>
      </w:r>
      <w:r w:rsidRPr="00624FEC">
        <w:rPr>
          <w:noProof/>
          <w:szCs w:val="24"/>
        </w:rPr>
        <w:t>, du traité sur le fonctionnement de l'Union européenne, conformément auxquels la proposition lui a été présentée par la Commission (C7–0220/2013),</w:t>
      </w:r>
    </w:p>
    <w:p w:rsidR="002022AB" w:rsidRPr="00624FEC" w:rsidRDefault="002022AB" w:rsidP="00075179">
      <w:pPr>
        <w:pStyle w:val="Normal12Hanging"/>
        <w:widowControl/>
        <w:rPr>
          <w:szCs w:val="24"/>
        </w:rPr>
      </w:pPr>
      <w:r w:rsidRPr="00624FEC">
        <w:rPr>
          <w:szCs w:val="24"/>
        </w:rPr>
        <w:t>–</w:t>
      </w:r>
      <w:r w:rsidRPr="00624FEC">
        <w:rPr>
          <w:szCs w:val="24"/>
        </w:rPr>
        <w:tab/>
      </w:r>
      <w:r w:rsidRPr="00624FEC">
        <w:rPr>
          <w:noProof/>
          <w:szCs w:val="24"/>
        </w:rPr>
        <w:t>vu l'article 294, paragraphe 3, du traité sur le fonctionnement de l'Union européenne,</w:t>
      </w:r>
    </w:p>
    <w:p w:rsidR="002022AB" w:rsidRDefault="002022AB" w:rsidP="00075179">
      <w:pPr>
        <w:pStyle w:val="Normal12Hanging"/>
        <w:widowControl/>
        <w:rPr>
          <w:noProof/>
          <w:szCs w:val="24"/>
        </w:rPr>
      </w:pPr>
      <w:r w:rsidRPr="00624FEC">
        <w:rPr>
          <w:szCs w:val="24"/>
        </w:rPr>
        <w:t>–</w:t>
      </w:r>
      <w:r w:rsidRPr="00624FEC">
        <w:rPr>
          <w:szCs w:val="24"/>
        </w:rPr>
        <w:tab/>
      </w:r>
      <w:r w:rsidRPr="00624FEC">
        <w:rPr>
          <w:noProof/>
          <w:szCs w:val="24"/>
        </w:rPr>
        <w:t>vu l'avis du Comité économique et social européen du 10 décembre 2013</w:t>
      </w:r>
      <w:r w:rsidRPr="00624FEC">
        <w:rPr>
          <w:rStyle w:val="FootnoteReference"/>
          <w:noProof/>
          <w:szCs w:val="24"/>
        </w:rPr>
        <w:footnoteReference w:id="24"/>
      </w:r>
      <w:r w:rsidRPr="00624FEC">
        <w:rPr>
          <w:noProof/>
          <w:szCs w:val="24"/>
        </w:rPr>
        <w:t>,</w:t>
      </w:r>
    </w:p>
    <w:p w:rsidR="002022AB" w:rsidRDefault="002022AB" w:rsidP="00075179">
      <w:pPr>
        <w:pStyle w:val="Normal12Hanging"/>
        <w:widowControl/>
      </w:pPr>
      <w:r w:rsidRPr="00B04248">
        <w:t>–</w:t>
      </w:r>
      <w:r w:rsidRPr="00B04248">
        <w:tab/>
        <w:t xml:space="preserve">vu </w:t>
      </w:r>
      <w:r w:rsidRPr="003B3347">
        <w:rPr>
          <w:noProof/>
          <w:szCs w:val="24"/>
        </w:rPr>
        <w:t>l'engagement</w:t>
      </w:r>
      <w:r w:rsidRPr="00B04248">
        <w:t xml:space="preserve"> pris par le représentant du Conseil, par lettre du </w:t>
      </w:r>
      <w:r>
        <w:t>26</w:t>
      </w:r>
      <w:r w:rsidRPr="00B04248">
        <w:t> </w:t>
      </w:r>
      <w:r>
        <w:t>février</w:t>
      </w:r>
      <w:r w:rsidRPr="00B04248">
        <w:t> 201</w:t>
      </w:r>
      <w:r>
        <w:t>4</w:t>
      </w:r>
      <w:r w:rsidRPr="00B04248">
        <w:t xml:space="preserve">, d'approuver la position du </w:t>
      </w:r>
      <w:r w:rsidRPr="003B3347">
        <w:rPr>
          <w:noProof/>
          <w:szCs w:val="24"/>
        </w:rPr>
        <w:t>P</w:t>
      </w:r>
      <w:r w:rsidRPr="00B04248">
        <w:t>arlement européen, conformément à l'article 294, paragraphe 4, du traité sur le fonctionnement de l'Union européenne,</w:t>
      </w:r>
    </w:p>
    <w:p w:rsidR="002022AB" w:rsidRPr="00624FEC" w:rsidRDefault="002022AB" w:rsidP="00075179">
      <w:pPr>
        <w:pStyle w:val="Normal12Hanging"/>
        <w:widowControl/>
        <w:rPr>
          <w:szCs w:val="24"/>
        </w:rPr>
      </w:pPr>
      <w:r w:rsidRPr="00624FEC">
        <w:rPr>
          <w:szCs w:val="24"/>
        </w:rPr>
        <w:t>–</w:t>
      </w:r>
      <w:r w:rsidRPr="00624FEC">
        <w:rPr>
          <w:szCs w:val="24"/>
        </w:rPr>
        <w:tab/>
      </w:r>
      <w:r w:rsidRPr="00624FEC">
        <w:rPr>
          <w:noProof/>
          <w:szCs w:val="24"/>
        </w:rPr>
        <w:t>vu l'article 55 de son règlement,</w:t>
      </w:r>
    </w:p>
    <w:p w:rsidR="002022AB" w:rsidRPr="00624FEC" w:rsidRDefault="002022AB" w:rsidP="00075179">
      <w:pPr>
        <w:pStyle w:val="Normal12Hanging"/>
        <w:widowControl/>
        <w:rPr>
          <w:szCs w:val="24"/>
        </w:rPr>
      </w:pPr>
      <w:r w:rsidRPr="00624FEC">
        <w:rPr>
          <w:szCs w:val="24"/>
        </w:rPr>
        <w:t>–</w:t>
      </w:r>
      <w:r w:rsidRPr="00624FEC">
        <w:rPr>
          <w:szCs w:val="24"/>
        </w:rPr>
        <w:tab/>
      </w:r>
      <w:r w:rsidRPr="00624FEC">
        <w:rPr>
          <w:noProof/>
          <w:szCs w:val="24"/>
        </w:rPr>
        <w:t>vu le rapport de la commission de l'industrie, de la recherche et de l'énergie (A7–0077/2014),</w:t>
      </w:r>
    </w:p>
    <w:p w:rsidR="002022AB" w:rsidRPr="00624FEC" w:rsidRDefault="002022AB" w:rsidP="00075179">
      <w:pPr>
        <w:pStyle w:val="Normal12Hanging"/>
        <w:widowControl/>
        <w:rPr>
          <w:szCs w:val="24"/>
        </w:rPr>
      </w:pPr>
      <w:r w:rsidRPr="00624FEC">
        <w:rPr>
          <w:szCs w:val="24"/>
        </w:rPr>
        <w:t>1.</w:t>
      </w:r>
      <w:r w:rsidRPr="00624FEC">
        <w:rPr>
          <w:szCs w:val="24"/>
        </w:rPr>
        <w:tab/>
      </w:r>
      <w:r w:rsidRPr="00624FEC">
        <w:rPr>
          <w:noProof/>
          <w:szCs w:val="24"/>
        </w:rPr>
        <w:t>arrête la position en première lecture figurant ci-après;</w:t>
      </w:r>
    </w:p>
    <w:p w:rsidR="002022AB" w:rsidRPr="00624FEC" w:rsidRDefault="002022AB" w:rsidP="00075179">
      <w:pPr>
        <w:pStyle w:val="Normal12Hanging"/>
        <w:widowControl/>
        <w:rPr>
          <w:szCs w:val="24"/>
        </w:rPr>
      </w:pPr>
      <w:r w:rsidRPr="00624FEC">
        <w:rPr>
          <w:szCs w:val="24"/>
        </w:rPr>
        <w:t>2.</w:t>
      </w:r>
      <w:r w:rsidRPr="00624FEC">
        <w:rPr>
          <w:szCs w:val="24"/>
        </w:rPr>
        <w:tab/>
      </w:r>
      <w:r w:rsidRPr="00624FEC">
        <w:rPr>
          <w:noProof/>
          <w:szCs w:val="24"/>
        </w:rPr>
        <w:t>demande à la Commission de le saisir à nouveau, si elle entend modifier de manière substantielle sa proposition ou la remplacer par un autre texte;</w:t>
      </w:r>
    </w:p>
    <w:p w:rsidR="002022AB" w:rsidRPr="00624FEC" w:rsidRDefault="002022AB" w:rsidP="00075179">
      <w:pPr>
        <w:pStyle w:val="Normal12Hanging"/>
        <w:widowControl/>
        <w:rPr>
          <w:szCs w:val="24"/>
        </w:rPr>
      </w:pPr>
      <w:r w:rsidRPr="00624FEC">
        <w:rPr>
          <w:szCs w:val="24"/>
        </w:rPr>
        <w:t>3.</w:t>
      </w:r>
      <w:r w:rsidRPr="00624FEC">
        <w:rPr>
          <w:szCs w:val="24"/>
        </w:rPr>
        <w:tab/>
      </w:r>
      <w:r w:rsidRPr="00624FEC">
        <w:rPr>
          <w:noProof/>
          <w:szCs w:val="24"/>
        </w:rPr>
        <w:t>charge son Président de transmettre la position du Parlement au Conseil et à la Commission ainsi qu'aux parlements nationaux.</w:t>
      </w:r>
    </w:p>
    <w:p w:rsidR="002022AB" w:rsidRPr="00C617B0" w:rsidRDefault="002022AB" w:rsidP="00075179">
      <w:pPr>
        <w:spacing w:after="240"/>
        <w:rPr>
          <w:b/>
        </w:rPr>
      </w:pPr>
      <w:r>
        <w:rPr>
          <w:szCs w:val="24"/>
        </w:rPr>
        <w:br w:type="page"/>
      </w:r>
      <w:r w:rsidRPr="00C617B0">
        <w:rPr>
          <w:b/>
        </w:rPr>
        <w:t>P7_TC1-COD(</w:t>
      </w:r>
      <w:r>
        <w:rPr>
          <w:b/>
        </w:rPr>
        <w:t>2013</w:t>
      </w:r>
      <w:r w:rsidRPr="00C617B0">
        <w:rPr>
          <w:b/>
        </w:rPr>
        <w:t>)</w:t>
      </w:r>
      <w:r>
        <w:rPr>
          <w:b/>
        </w:rPr>
        <w:t>0232</w:t>
      </w:r>
    </w:p>
    <w:p w:rsidR="002022AB" w:rsidRPr="00255D29" w:rsidRDefault="002022AB" w:rsidP="00075179">
      <w:pPr>
        <w:spacing w:after="240"/>
        <w:rPr>
          <w:b/>
          <w:bCs/>
          <w:szCs w:val="24"/>
          <w:lang w:eastAsia="fr-FR" w:bidi="fr-FR"/>
        </w:rPr>
      </w:pPr>
      <w:r w:rsidRPr="00C92B87">
        <w:rPr>
          <w:b/>
        </w:rPr>
        <w:t xml:space="preserve">Position du Parlement européen arrêtée en première lecture le </w:t>
      </w:r>
      <w:r>
        <w:rPr>
          <w:b/>
        </w:rPr>
        <w:t>15 avril 2014</w:t>
      </w:r>
      <w:r w:rsidRPr="00C92B87">
        <w:rPr>
          <w:b/>
        </w:rPr>
        <w:t xml:space="preserve"> en vue de </w:t>
      </w:r>
      <w:r w:rsidRPr="00255D29">
        <w:rPr>
          <w:b/>
        </w:rPr>
        <w:t>l’adoption de la décision n° …/2014/UE du Parlement</w:t>
      </w:r>
      <w:r w:rsidRPr="00C92B87">
        <w:rPr>
          <w:b/>
        </w:rPr>
        <w:t xml:space="preserve"> européen et du Conseil </w:t>
      </w:r>
      <w:r w:rsidRPr="00255D29">
        <w:rPr>
          <w:b/>
          <w:szCs w:val="24"/>
          <w:lang w:eastAsia="fr-FR" w:bidi="fr-FR"/>
        </w:rPr>
        <w:t xml:space="preserve">relative à la participation de l'Union à un programme de recherche et développement entrepris conjointement par plusieurs États membres, visant à soutenir les petites et moyennes entreprises qui exercent des activités de recherche </w:t>
      </w:r>
      <w:r w:rsidRPr="00255D29">
        <w:rPr>
          <w:b/>
          <w:i/>
          <w:szCs w:val="24"/>
          <w:lang w:eastAsia="fr-FR" w:bidi="fr-FR"/>
        </w:rPr>
        <w:t>et développement</w:t>
      </w:r>
      <w:r w:rsidRPr="00255D29">
        <w:rPr>
          <w:b/>
          <w:szCs w:val="24"/>
          <w:lang w:eastAsia="fr-FR" w:bidi="fr-FR"/>
        </w:rPr>
        <w:t xml:space="preserve"> </w:t>
      </w:r>
    </w:p>
    <w:p w:rsidR="002022AB" w:rsidRPr="00255D29" w:rsidRDefault="002022AB" w:rsidP="00075179">
      <w:pPr>
        <w:autoSpaceDE w:val="0"/>
        <w:autoSpaceDN w:val="0"/>
        <w:adjustRightInd w:val="0"/>
        <w:spacing w:before="360" w:after="240" w:line="360" w:lineRule="auto"/>
        <w:jc w:val="center"/>
        <w:rPr>
          <w:szCs w:val="24"/>
          <w:lang w:eastAsia="fr-FR" w:bidi="fr-FR"/>
        </w:rPr>
      </w:pPr>
      <w:r w:rsidRPr="00255D29">
        <w:rPr>
          <w:szCs w:val="24"/>
          <w:lang w:eastAsia="fr-FR" w:bidi="fr-FR"/>
        </w:rPr>
        <w:t>(Texte présentant de l'intérêt pour l'EEE)</w:t>
      </w:r>
    </w:p>
    <w:p w:rsidR="002022AB" w:rsidRPr="00255D29" w:rsidRDefault="002022AB" w:rsidP="00075179">
      <w:pPr>
        <w:autoSpaceDE w:val="0"/>
        <w:autoSpaceDN w:val="0"/>
        <w:adjustRightInd w:val="0"/>
        <w:spacing w:before="360" w:after="120" w:line="360" w:lineRule="auto"/>
        <w:outlineLvl w:val="0"/>
        <w:rPr>
          <w:szCs w:val="24"/>
          <w:lang w:eastAsia="fr-FR" w:bidi="fr-FR"/>
        </w:rPr>
      </w:pPr>
      <w:r w:rsidRPr="00255D29">
        <w:rPr>
          <w:szCs w:val="24"/>
          <w:lang w:eastAsia="fr-FR" w:bidi="fr-FR"/>
        </w:rPr>
        <w:t xml:space="preserve">LE PARLEMENT EUROPÉEN ET LE CONSEIL DE L'UNION EUROPÉENNE, </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 xml:space="preserve">vu le traité sur le fonctionnement de l'Union européenne, et notamment son article 185 et son article 188, deuxième alinéa, </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vu la proposition de la Commission européenne,</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 xml:space="preserve">après transmission du projet d'acte législatif aux parlements nationaux, </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vu l'avis du Comité économique et social européen</w:t>
      </w:r>
      <w:r w:rsidRPr="00255D29">
        <w:rPr>
          <w:b/>
          <w:szCs w:val="24"/>
          <w:vertAlign w:val="superscript"/>
          <w:lang w:eastAsia="fr-FR" w:bidi="fr-FR"/>
        </w:rPr>
        <w:footnoteReference w:id="25"/>
      </w:r>
      <w:r w:rsidRPr="00255D29">
        <w:rPr>
          <w:szCs w:val="24"/>
          <w:lang w:eastAsia="fr-FR" w:bidi="fr-FR"/>
        </w:rPr>
        <w:t xml:space="preserve">, </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statuant conformément à la procédure législative ordinaire</w:t>
      </w:r>
      <w:r w:rsidRPr="00255D29">
        <w:rPr>
          <w:b/>
          <w:szCs w:val="24"/>
          <w:vertAlign w:val="superscript"/>
          <w:lang w:eastAsia="fr-FR" w:bidi="fr-FR"/>
        </w:rPr>
        <w:footnoteReference w:id="26"/>
      </w:r>
      <w:r w:rsidRPr="00255D29">
        <w:rPr>
          <w:szCs w:val="24"/>
          <w:lang w:eastAsia="fr-FR" w:bidi="fr-FR"/>
        </w:rPr>
        <w:t>,</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br w:type="page"/>
        <w:t>considérant ce qui suit:</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(1)</w:t>
      </w:r>
      <w:r w:rsidRPr="00255D29">
        <w:rPr>
          <w:szCs w:val="24"/>
          <w:lang w:eastAsia="fr-FR" w:bidi="fr-FR"/>
        </w:rPr>
        <w:tab/>
        <w:t>Dans sa communication du 3 mars 2010 intitulée "Europe 2020 - Une stratégie pour une croissance intelligente, durable et inclusive" (ci-après dénommée "stratégie Europe 2020"), la Commission a souligné la nécessité de mettre en place des conditions favorables à l'investissement dans les domaines de la connaissance et de l'innovation de manière à atteindre l'objectif d'une croissance intelligente, durable et inclusive dans l'Union. Tant le Parlement européen que le Conseil ont approuvé cette stratégie.</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w:t>
      </w:r>
      <w:r w:rsidRPr="00255D29">
        <w:rPr>
          <w:szCs w:val="24"/>
          <w:lang w:eastAsia="fr-FR" w:bidi="fr-FR"/>
        </w:rPr>
        <w:tab/>
        <w:t>Le règlement (UE) nº </w:t>
      </w:r>
      <w:r w:rsidRPr="00255D29">
        <w:rPr>
          <w:b/>
          <w:i/>
          <w:color w:val="000000"/>
          <w:szCs w:val="24"/>
          <w:lang w:eastAsia="fr-FR" w:bidi="fr-FR"/>
        </w:rPr>
        <w:t>1291</w:t>
      </w:r>
      <w:r w:rsidRPr="00255D29">
        <w:rPr>
          <w:szCs w:val="24"/>
          <w:lang w:eastAsia="fr-FR" w:bidi="fr-FR"/>
        </w:rPr>
        <w:t>/2013 du Parlement européen et du Conseil</w:t>
      </w:r>
      <w:r w:rsidRPr="00255D29">
        <w:rPr>
          <w:b/>
          <w:szCs w:val="24"/>
          <w:vertAlign w:val="superscript"/>
          <w:lang w:eastAsia="fr-FR" w:bidi="fr-FR"/>
        </w:rPr>
        <w:footnoteReference w:id="27"/>
      </w:r>
      <w:r w:rsidRPr="00255D29">
        <w:rPr>
          <w:szCs w:val="24"/>
          <w:lang w:eastAsia="fr-FR" w:bidi="fr-FR"/>
        </w:rPr>
        <w:t xml:space="preserve"> a institué le programme-cadre pour la recherche et l'innovation "Horizon 2020" (2014-2020) (ci-après dénommé "Horizon 2020"). Horizon 2020 vise à obtenir un impact plus important en ce qui concerne la recherche et l'innovation, en contribuant au renforcement des partenariats public-public, y compris par la participation de l'Union à des programmes entrepris par plusieurs États membres, conformément à l'article 185 du traité sur le fonctionnement de l'Union européenne.</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b/>
          <w:i/>
          <w:color w:val="000000"/>
          <w:szCs w:val="24"/>
          <w:lang w:eastAsia="fr-FR" w:bidi="fr-FR"/>
        </w:rPr>
        <w:t>(3)</w:t>
      </w:r>
      <w:r w:rsidRPr="00255D29">
        <w:rPr>
          <w:szCs w:val="24"/>
          <w:lang w:eastAsia="fr-FR" w:bidi="fr-FR"/>
        </w:rPr>
        <w:tab/>
      </w:r>
      <w:r w:rsidRPr="00255D29">
        <w:rPr>
          <w:b/>
          <w:i/>
          <w:color w:val="000000"/>
          <w:szCs w:val="24"/>
          <w:lang w:eastAsia="fr-FR" w:bidi="fr-FR"/>
        </w:rPr>
        <w:t>Les partenariats public-public devraient viser à créer des synergies plus étroites, à améliorer la coordination et à éviter les doubles emplois avec les programmes de recherche de l'Union, ainsi qu'avec les programmes de recherche internationaux, nationaux et régionaux, et ils devraient respecter pleinement les principes généraux d'Horizon 2020, en particulier ceux relatifs à l'ouverture et à la transparence. En outre, il convient d'assurer le libre accès aux publications scientifiques.</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(4)</w:t>
      </w:r>
      <w:r w:rsidRPr="00255D29">
        <w:rPr>
          <w:szCs w:val="24"/>
          <w:lang w:eastAsia="fr-FR" w:bidi="fr-FR"/>
        </w:rPr>
        <w:tab/>
        <w:t>Par la décision n° 743/2008/CE du Parlement européen et du Conseil</w:t>
      </w:r>
      <w:r w:rsidRPr="00255D29">
        <w:rPr>
          <w:b/>
          <w:szCs w:val="24"/>
          <w:vertAlign w:val="superscript"/>
          <w:lang w:eastAsia="fr-FR" w:bidi="fr-FR"/>
        </w:rPr>
        <w:footnoteReference w:id="28"/>
      </w:r>
      <w:r w:rsidRPr="00255D29">
        <w:rPr>
          <w:szCs w:val="24"/>
          <w:lang w:eastAsia="fr-FR" w:bidi="fr-FR"/>
        </w:rPr>
        <w:t xml:space="preserve">, la Communauté a décidé d'apporter une contribution financière à Eurostars, un programme commun de recherche et développement entrepris par tous les États membres et cinq pays participants dans le cadre d'Eureka, une initiative intergouvernementale établie en 1985 dont le but est d'encourager la coopération dans le domaine de la recherche industrielle (ci-après dénommé "Eurostars").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(5)</w:t>
      </w:r>
      <w:r w:rsidRPr="00255D29">
        <w:rPr>
          <w:szCs w:val="24"/>
          <w:lang w:eastAsia="fr-FR" w:bidi="fr-FR"/>
        </w:rPr>
        <w:tab/>
        <w:t xml:space="preserve">En avril 2012, la Commission a transmis au Parlement européen et au Conseil un rapport sur l'évaluation intermédiaire d'Eurostars réalisée par un groupe d'experts indépendants deux ans après le début du programme. De l'avis général des experts, Eurostars remplit ses objectifs, confère une valeur ajoutée aux petites et moyennes entreprises (PME) européennes exerçant des activités de recherche </w:t>
      </w:r>
      <w:r w:rsidRPr="00255D29">
        <w:rPr>
          <w:b/>
          <w:i/>
          <w:color w:val="000000"/>
          <w:szCs w:val="24"/>
          <w:lang w:eastAsia="fr-FR" w:bidi="fr-FR"/>
        </w:rPr>
        <w:t>et de développement</w:t>
      </w:r>
      <w:r w:rsidRPr="00255D29">
        <w:rPr>
          <w:szCs w:val="24"/>
          <w:lang w:eastAsia="fr-FR" w:bidi="fr-FR"/>
        </w:rPr>
        <w:t xml:space="preserve"> et devrait être poursuivi après 2013. </w:t>
      </w:r>
      <w:r w:rsidRPr="00255D29">
        <w:rPr>
          <w:b/>
          <w:i/>
          <w:color w:val="000000"/>
          <w:szCs w:val="24"/>
          <w:lang w:eastAsia="fr-FR" w:bidi="fr-FR"/>
        </w:rPr>
        <w:t xml:space="preserve">De même, l'on estime qu'Eurostars répond à des besoins réels des PME engagées dans la recherche et le développement; il a suscité un grand nombre de demandes, et le budget pour les projets éligibles à un financement a dépassé le budget prévu à l'origine. </w:t>
      </w:r>
      <w:r w:rsidRPr="00255D29">
        <w:rPr>
          <w:szCs w:val="24"/>
          <w:lang w:eastAsia="fr-FR" w:bidi="fr-FR"/>
        </w:rPr>
        <w:t xml:space="preserve">Un certain nombre de recommandations en vue d'une amélioration ont été formulées, principalement pour ce qui est de la nécessité d'une intégration plus poussée des programmes nationaux et d'une meilleure performance opérationnelle afin de réduire les délais d'engagement et d'accroître la transparence des procédures.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(6)</w:t>
      </w:r>
      <w:r w:rsidRPr="00255D29">
        <w:rPr>
          <w:szCs w:val="24"/>
          <w:lang w:eastAsia="fr-FR" w:bidi="fr-FR"/>
        </w:rPr>
        <w:tab/>
        <w:t>La définition de PME prévue dans la recommandation 2003/361/CE de la Commission du 6 mai 2003 concernant la définition des micro, petites et moyennes entreprises</w:t>
      </w:r>
      <w:r w:rsidRPr="00255D29">
        <w:rPr>
          <w:b/>
          <w:szCs w:val="24"/>
          <w:vertAlign w:val="superscript"/>
          <w:lang w:eastAsia="fr-FR" w:bidi="fr-FR"/>
        </w:rPr>
        <w:footnoteReference w:id="29"/>
      </w:r>
      <w:r w:rsidRPr="00255D29">
        <w:rPr>
          <w:szCs w:val="24"/>
          <w:lang w:eastAsia="fr-FR" w:bidi="fr-FR"/>
        </w:rPr>
        <w:t xml:space="preserve"> s'applique.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(7)</w:t>
      </w:r>
      <w:r w:rsidRPr="00255D29">
        <w:rPr>
          <w:szCs w:val="24"/>
          <w:lang w:eastAsia="fr-FR" w:bidi="fr-FR"/>
        </w:rPr>
        <w:tab/>
        <w:t>Conformément à la décision 2013/</w:t>
      </w:r>
      <w:r w:rsidRPr="00255D29">
        <w:rPr>
          <w:b/>
          <w:bCs/>
          <w:i/>
          <w:iCs/>
          <w:szCs w:val="24"/>
          <w:lang w:eastAsia="fr-FR" w:bidi="fr-FR"/>
        </w:rPr>
        <w:t>743</w:t>
      </w:r>
      <w:r w:rsidRPr="00255D29">
        <w:rPr>
          <w:szCs w:val="24"/>
          <w:lang w:eastAsia="fr-FR" w:bidi="fr-FR"/>
        </w:rPr>
        <w:t>/UE du Conseil</w:t>
      </w:r>
      <w:r w:rsidRPr="00255D29">
        <w:rPr>
          <w:b/>
          <w:szCs w:val="24"/>
          <w:vertAlign w:val="superscript"/>
          <w:lang w:eastAsia="fr-FR" w:bidi="fr-FR"/>
        </w:rPr>
        <w:footnoteReference w:id="30"/>
      </w:r>
      <w:r w:rsidRPr="00255D29">
        <w:rPr>
          <w:szCs w:val="24"/>
          <w:lang w:eastAsia="fr-FR" w:bidi="fr-FR"/>
        </w:rPr>
        <w:t xml:space="preserve">, un soutien peut être apporté à une action fondée sur Eurostars qui le réoriente dans le sens indiqué par son évaluation intermédiaire.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(8)</w:t>
      </w:r>
      <w:r w:rsidRPr="00255D29">
        <w:rPr>
          <w:szCs w:val="24"/>
          <w:lang w:eastAsia="fr-FR" w:bidi="fr-FR"/>
        </w:rPr>
        <w:tab/>
        <w:t xml:space="preserve">Le deuxième programme de recherche et de développement entrepris conjointement par plusieurs États membres visant à soutenir les petites et moyennes entreprises qui exercent des activités de recherche et de développement (ci-après dénommé "Eurostars-2"), aligné sur la stratégie Europe 2020, son initiative phare "Une Union de l'innovation" et la communication de la Commission du 17 juillet 2012 intitulée "Un partenariat renforcé pour l'excellence et la croissance dans l'Espace européen de la recherche", aura pour objectif de soutenir les PME exerçant des activités de recherche </w:t>
      </w:r>
      <w:r w:rsidRPr="00255D29">
        <w:rPr>
          <w:b/>
          <w:i/>
          <w:color w:val="000000"/>
          <w:szCs w:val="24"/>
          <w:lang w:eastAsia="fr-FR" w:bidi="fr-FR"/>
        </w:rPr>
        <w:t xml:space="preserve">et de développement </w:t>
      </w:r>
      <w:r w:rsidRPr="00255D29">
        <w:rPr>
          <w:szCs w:val="24"/>
          <w:lang w:eastAsia="fr-FR" w:bidi="fr-FR"/>
        </w:rPr>
        <w:t xml:space="preserve">en cofinançant leurs projets de recherche axés sur le marché quel que soit le domaine. En tant que tel, et en association avec les activités relevant de l'objectif de leadership en matière de technologies génériques et industrielles énoncé dans Horizon 2020, il contribuera à la réalisation des objectifs du volet "Primauté industrielle" de ce programme en vue d'accélérer le développement des technologies et des innovations qui seront le fondement des entreprises de demain et aideront les PME européennes innovantes à devenir des acteurs majeurs sur le marché mondial. Au nombre des améliorations à apporter par rapport au programme Eurostars précédent, Eurostars-2 devrait viser des délais d'engagement plus, une intégration plus poussée et une administration efficace, transparente et plus efficiente dans l'intérêt des </w:t>
      </w:r>
      <w:r w:rsidRPr="00255D29">
        <w:rPr>
          <w:b/>
          <w:i/>
          <w:color w:val="000000"/>
          <w:szCs w:val="24"/>
          <w:lang w:eastAsia="fr-FR" w:bidi="fr-FR"/>
        </w:rPr>
        <w:t xml:space="preserve">PME exerçant des activités </w:t>
      </w:r>
      <w:r w:rsidRPr="00255D29">
        <w:rPr>
          <w:bCs/>
          <w:i/>
          <w:color w:val="000000"/>
          <w:szCs w:val="24"/>
          <w:lang w:eastAsia="fr-FR" w:bidi="fr-FR"/>
        </w:rPr>
        <w:t>de recherche</w:t>
      </w:r>
      <w:r w:rsidRPr="00255D29">
        <w:rPr>
          <w:b/>
          <w:i/>
          <w:color w:val="000000"/>
          <w:szCs w:val="24"/>
          <w:lang w:eastAsia="fr-FR" w:bidi="fr-FR"/>
        </w:rPr>
        <w:t xml:space="preserve"> et de développement</w:t>
      </w:r>
      <w:r w:rsidRPr="00255D29">
        <w:rPr>
          <w:szCs w:val="24"/>
          <w:lang w:eastAsia="fr-FR" w:bidi="fr-FR"/>
        </w:rPr>
        <w:t>.</w:t>
      </w:r>
      <w:r w:rsidRPr="00255D29">
        <w:rPr>
          <w:b/>
          <w:i/>
          <w:color w:val="000000"/>
          <w:szCs w:val="24"/>
          <w:lang w:eastAsia="fr-FR" w:bidi="fr-FR"/>
        </w:rPr>
        <w:t xml:space="preserve"> Il est essentiel, pour la réussite d'Eurostars-2, de maintenir le caractère ascendant et centré sur les entreprises, principalement axé sur les perspectives du marché, du programme Eurostars précédent.</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r>
      <w:r w:rsidRPr="00255D29">
        <w:rPr>
          <w:b/>
          <w:i/>
          <w:color w:val="000000"/>
          <w:szCs w:val="24"/>
          <w:lang w:eastAsia="fr-FR" w:bidi="fr-FR"/>
        </w:rPr>
        <w:t xml:space="preserve">(9) </w:t>
      </w:r>
      <w:r w:rsidRPr="00255D29">
        <w:rPr>
          <w:szCs w:val="24"/>
          <w:lang w:eastAsia="fr-FR" w:bidi="fr-FR"/>
        </w:rPr>
        <w:tab/>
      </w:r>
      <w:r w:rsidRPr="00255D29">
        <w:rPr>
          <w:b/>
          <w:i/>
          <w:color w:val="000000"/>
          <w:szCs w:val="24"/>
          <w:lang w:eastAsia="fr-FR" w:bidi="fr-FR"/>
        </w:rPr>
        <w:t>Afin de tenir compte de la durée d'Horizon 2020, les appels à propositions au titre d'Eurostars-2 devraient être lancés d'ici au 31 décembre 2020 au plus tard. Dans des cas dûment justifiés, ils peuvent être lancés d'ici au 31 décembre 2021 au plus tard.</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(10)</w:t>
      </w:r>
      <w:r w:rsidRPr="00255D29">
        <w:rPr>
          <w:szCs w:val="24"/>
          <w:lang w:eastAsia="fr-FR" w:bidi="fr-FR"/>
        </w:rPr>
        <w:tab/>
        <w:t xml:space="preserve">La conférence ministérielle Eureka qui s'est tenue le 22 juin 2012 à Budapest a approuvé une vision stratégique pour Eurostars-2 (ci-après dénommée "document de Budapest"). Les ministres se sont engagés à soutenir la poursuite d'Eurostars après sa conclusion en 2013 pour la période couverte par Horizon 2020. Ce soutien prendra la forme d'un partenariat renforcé tenant compte des recommandations issues de l'évaluation intermédiaire d'Eurostars. Le document de Budapest énonce deux grands objectifs pour Eurostars-2: en premier lieu, un objectif d'ordre structurel visant à approfondir la synchronisation et l'alignement des programmes nationaux de recherche dans le domaine du financement, élément central pour la réalisation de l'espace européen de la recherche par les pays membres; en second lieu, un objectif lié au contenu pour soutenir les PME exerçant des activités de recherche </w:t>
      </w:r>
      <w:r w:rsidRPr="00255D29">
        <w:rPr>
          <w:b/>
          <w:i/>
          <w:color w:val="000000"/>
          <w:szCs w:val="24"/>
          <w:lang w:eastAsia="fr-FR" w:bidi="fr-FR"/>
        </w:rPr>
        <w:t xml:space="preserve">et de développement </w:t>
      </w:r>
      <w:r w:rsidRPr="00255D29">
        <w:rPr>
          <w:szCs w:val="24"/>
          <w:lang w:eastAsia="fr-FR" w:bidi="fr-FR"/>
        </w:rPr>
        <w:t xml:space="preserve">qui participent à des projets de recherche et d'innovation transnationaux. Le document de Budapest invite l'Union à participer à </w:t>
      </w:r>
      <w:r w:rsidRPr="00255D29">
        <w:rPr>
          <w:b/>
          <w:i/>
          <w:color w:val="000000"/>
          <w:szCs w:val="24"/>
          <w:lang w:eastAsia="fr-FR" w:bidi="fr-FR"/>
        </w:rPr>
        <w:t>Eurostars-2.</w:t>
      </w:r>
    </w:p>
    <w:p w:rsidR="002022AB" w:rsidRPr="00255D29" w:rsidRDefault="002022AB" w:rsidP="00075179">
      <w:pPr>
        <w:autoSpaceDE w:val="0"/>
        <w:autoSpaceDN w:val="0"/>
        <w:adjustRightInd w:val="0"/>
        <w:spacing w:before="120" w:after="120" w:line="360" w:lineRule="auto"/>
        <w:ind w:left="709" w:hanging="709"/>
        <w:rPr>
          <w:b/>
          <w:i/>
          <w:color w:val="000000"/>
          <w:szCs w:val="24"/>
          <w:lang w:eastAsia="fr-FR" w:bidi="fr-FR"/>
        </w:rPr>
      </w:pPr>
      <w:r w:rsidRPr="00255D29">
        <w:rPr>
          <w:b/>
          <w:i/>
          <w:color w:val="000000"/>
          <w:szCs w:val="24"/>
          <w:lang w:eastAsia="fr-FR" w:bidi="fr-FR"/>
        </w:rPr>
        <w:t xml:space="preserve">(11) </w:t>
      </w:r>
      <w:r w:rsidRPr="00255D29">
        <w:rPr>
          <w:szCs w:val="24"/>
          <w:lang w:eastAsia="fr-FR" w:bidi="fr-FR"/>
        </w:rPr>
        <w:tab/>
      </w:r>
      <w:r w:rsidRPr="00255D29">
        <w:rPr>
          <w:b/>
          <w:i/>
          <w:color w:val="000000"/>
          <w:szCs w:val="24"/>
          <w:lang w:eastAsia="fr-FR" w:bidi="fr-FR"/>
        </w:rPr>
        <w:t>Dans un souci de simplification, il convient de réduire les charges administratives pour toutes les parties. Les doubles audits et les exigences disproportionnées en matière de documents et de rapports sont à éviter. Lorsque des audits sont réalisés, il y a lieu de tenir compte des particularités des programmes nationaux, le cas échéant.</w:t>
      </w:r>
    </w:p>
    <w:p w:rsidR="002022AB" w:rsidRPr="00255D29" w:rsidRDefault="002022AB" w:rsidP="00075179">
      <w:pPr>
        <w:autoSpaceDE w:val="0"/>
        <w:autoSpaceDN w:val="0"/>
        <w:adjustRightInd w:val="0"/>
        <w:spacing w:before="120" w:after="120" w:line="360" w:lineRule="auto"/>
        <w:ind w:left="709" w:hanging="709"/>
        <w:rPr>
          <w:bCs/>
          <w:iCs/>
          <w:color w:val="000000"/>
          <w:szCs w:val="24"/>
          <w:lang w:eastAsia="fr-FR" w:bidi="fr-FR"/>
        </w:rPr>
      </w:pPr>
      <w:r w:rsidRPr="00255D29">
        <w:rPr>
          <w:bCs/>
          <w:iCs/>
          <w:color w:val="000000"/>
          <w:szCs w:val="24"/>
          <w:lang w:eastAsia="fr-FR" w:bidi="fr-FR"/>
        </w:rPr>
        <w:t>(12)</w:t>
      </w:r>
      <w:r w:rsidRPr="00255D29">
        <w:rPr>
          <w:bCs/>
          <w:iCs/>
          <w:color w:val="000000"/>
          <w:szCs w:val="24"/>
          <w:lang w:eastAsia="fr-FR" w:bidi="fr-FR"/>
        </w:rPr>
        <w:tab/>
        <w:t>Des audits des bénéficiaires de fonds de l'Union octroyés au titre d'Eurostars-2 devraient être réalisés conformément au règlement (UE) n° 1291/2013.</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(13)</w:t>
      </w:r>
      <w:r w:rsidRPr="00255D29">
        <w:rPr>
          <w:szCs w:val="24"/>
          <w:lang w:eastAsia="fr-FR" w:bidi="fr-FR"/>
        </w:rPr>
        <w:tab/>
        <w:t xml:space="preserve">Les États participants ont l'intention de contribuer à la mise en œuvre d'Eurostars-2 pendant la période couverte par Eurostars-2 (2014-2024).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b/>
          <w:i/>
          <w:color w:val="000000"/>
          <w:szCs w:val="24"/>
          <w:lang w:eastAsia="fr-FR" w:bidi="fr-FR"/>
        </w:rPr>
        <w:t>(14)</w:t>
      </w:r>
      <w:r w:rsidRPr="00255D29">
        <w:rPr>
          <w:szCs w:val="24"/>
          <w:lang w:eastAsia="fr-FR" w:bidi="fr-FR"/>
        </w:rPr>
        <w:tab/>
      </w:r>
      <w:r w:rsidRPr="00255D29">
        <w:rPr>
          <w:b/>
          <w:i/>
          <w:color w:val="000000"/>
          <w:szCs w:val="24"/>
          <w:lang w:eastAsia="fr-FR" w:bidi="fr-FR"/>
        </w:rPr>
        <w:t>Les activités menées au titre d'Eurostars-2 devraient être conformes aux objectifs et à l'approche ascendante d'Horizon 2020 ainsi qu'aux conditions et principes généraux prévus à l'article 26 du règlement (UE) n° 1291/2013.</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(15)</w:t>
      </w:r>
      <w:r w:rsidRPr="00255D29">
        <w:rPr>
          <w:szCs w:val="24"/>
          <w:lang w:eastAsia="fr-FR" w:bidi="fr-FR"/>
        </w:rPr>
        <w:tab/>
        <w:t xml:space="preserve">Un plafond devrait être fixé pour la contribution financière de l'Union à Eurostars-2 pour la durée d'Horizon 2020. Dans la limite de ce plafond, </w:t>
      </w:r>
      <w:r w:rsidRPr="00255D29">
        <w:rPr>
          <w:b/>
          <w:i/>
          <w:color w:val="000000"/>
          <w:szCs w:val="24"/>
          <w:lang w:eastAsia="fr-FR" w:bidi="fr-FR"/>
        </w:rPr>
        <w:t xml:space="preserve">il convient de prévoir une certaine souplesse </w:t>
      </w:r>
      <w:r w:rsidRPr="00255D29">
        <w:rPr>
          <w:szCs w:val="24"/>
          <w:lang w:eastAsia="fr-FR" w:bidi="fr-FR"/>
        </w:rPr>
        <w:t>en ce qui concerne la contribution de l'Union,</w:t>
      </w:r>
      <w:r w:rsidRPr="00255D29">
        <w:rPr>
          <w:b/>
          <w:i/>
          <w:color w:val="000000"/>
          <w:szCs w:val="24"/>
          <w:lang w:eastAsia="fr-FR" w:bidi="fr-FR"/>
        </w:rPr>
        <w:t xml:space="preserve"> qui </w:t>
      </w:r>
      <w:r w:rsidRPr="00255D29">
        <w:rPr>
          <w:szCs w:val="24"/>
          <w:lang w:eastAsia="fr-FR" w:bidi="fr-FR"/>
        </w:rPr>
        <w:t xml:space="preserve">devrait correspondre à </w:t>
      </w:r>
      <w:r w:rsidRPr="00255D29">
        <w:rPr>
          <w:b/>
          <w:bCs/>
          <w:i/>
          <w:iCs/>
          <w:szCs w:val="24"/>
          <w:lang w:eastAsia="fr-FR" w:bidi="fr-FR"/>
        </w:rPr>
        <w:t>au moins</w:t>
      </w:r>
      <w:r w:rsidRPr="00255D29">
        <w:rPr>
          <w:szCs w:val="24"/>
          <w:lang w:eastAsia="fr-FR" w:bidi="fr-FR"/>
        </w:rPr>
        <w:t xml:space="preserve"> un tiers de la contribution des États participants</w:t>
      </w:r>
      <w:r w:rsidRPr="00255D29">
        <w:rPr>
          <w:b/>
          <w:bCs/>
          <w:i/>
          <w:iCs/>
          <w:szCs w:val="24"/>
          <w:lang w:eastAsia="fr-FR" w:bidi="fr-FR"/>
        </w:rPr>
        <w:t>,</w:t>
      </w:r>
      <w:r w:rsidRPr="00255D29">
        <w:rPr>
          <w:szCs w:val="24"/>
          <w:lang w:eastAsia="fr-FR" w:bidi="fr-FR"/>
        </w:rPr>
        <w:t xml:space="preserve"> </w:t>
      </w:r>
      <w:r w:rsidRPr="00255D29">
        <w:rPr>
          <w:b/>
          <w:bCs/>
          <w:i/>
          <w:iCs/>
          <w:szCs w:val="24"/>
          <w:lang w:eastAsia="fr-FR" w:bidi="fr-FR"/>
        </w:rPr>
        <w:t>sans toutefois être supérieure à la moitié de cette contribution,</w:t>
      </w:r>
      <w:r w:rsidRPr="00255D29">
        <w:rPr>
          <w:szCs w:val="24"/>
          <w:lang w:eastAsia="fr-FR" w:bidi="fr-FR"/>
        </w:rPr>
        <w:t xml:space="preserve"> afin de garantir la masse critique nécessaire pour répondre à la demande émanant de projets éligibles à un soutien financier, d'obtenir un effet de levier important et d'assurer une intégration plus poussée des programmes nationaux de recherche des États participants.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(16)</w:t>
      </w:r>
      <w:r w:rsidRPr="00255D29">
        <w:rPr>
          <w:szCs w:val="24"/>
          <w:lang w:eastAsia="fr-FR" w:bidi="fr-FR"/>
        </w:rPr>
        <w:tab/>
        <w:t>Conformément aux objectifs du règlement (UE) n° 1291/2013, tout État membre et tout pays associé à Horizon 2020 devrait avoir le droit de participer à Eurostars-2.</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b/>
          <w:i/>
          <w:color w:val="000000"/>
          <w:szCs w:val="24"/>
          <w:lang w:eastAsia="fr-FR" w:bidi="fr-FR"/>
        </w:rPr>
        <w:t>(17)</w:t>
      </w:r>
      <w:r w:rsidRPr="00255D29">
        <w:rPr>
          <w:szCs w:val="24"/>
          <w:lang w:eastAsia="fr-FR" w:bidi="fr-FR"/>
        </w:rPr>
        <w:tab/>
      </w:r>
      <w:r w:rsidRPr="00255D29">
        <w:rPr>
          <w:b/>
          <w:i/>
          <w:color w:val="000000"/>
          <w:szCs w:val="24"/>
          <w:lang w:eastAsia="fr-FR" w:bidi="fr-FR"/>
        </w:rPr>
        <w:t>Tout membre d'Eureka ou pays associé à Eureka qui n'est pas un État membre ou un pays associé à Horizon 2020 peut devenir pays partenaire d'Eurostars-2.</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(18)</w:t>
      </w:r>
      <w:r w:rsidRPr="00255D29">
        <w:rPr>
          <w:szCs w:val="24"/>
          <w:lang w:eastAsia="fr-FR" w:bidi="fr-FR"/>
        </w:rPr>
        <w:tab/>
        <w:t>La contribution financière de l'Union devrait être subordonnée à des engagements formels de la part des États participants de contribuer à la mise en œuvre d'Eurostars-2 et à l'exécution de ces engagements. Le soutien financier au titre d'Eurostars-2 devrait essentiellement prendre la forme de subventions à des projets sélectionnés à la suite d'appels à propositions lancés dans le cadre d'Eurostars-2. Afin d'atteindre les objectifs d'Eurostars-2, les États participants doivent garantir une contribution financière suffisante pour financer un nombre raisonnable de propositions sélectionnées lors de chaque appel.</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(19)</w:t>
      </w:r>
      <w:r w:rsidRPr="00255D29">
        <w:rPr>
          <w:szCs w:val="24"/>
          <w:lang w:eastAsia="fr-FR" w:bidi="fr-FR"/>
        </w:rPr>
        <w:tab/>
        <w:t xml:space="preserve">La mise en œuvre conjointe d'Eurostars-2 exige une structure d'exécution. Les États participants sont convenus de désigner le secrétariat d'Eureka (ESE) comme structure d'exécution d'Eurostars-2. ESE est une association internationale sans but lucratif de droit belge constituée en 1997 par les pays Eureka et, depuis 2008, il est chargé de la mise en œuvre d'Eurostars. Son rôle va au-delà de cette mise en œuvre puisqu'il est en même temps le secrétariat de l'initiative Eureka et qu'il dispose de sa propre gouvernance liée à la gestion des projets Eureka en dehors d'Eurostars. L'Union, représentée par la Commission, est un membre fondateur de l'initiative Eureka et un membre à part entière de l'association du secrétariat d'Eureka.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(20)</w:t>
      </w:r>
      <w:r w:rsidRPr="00255D29">
        <w:rPr>
          <w:szCs w:val="24"/>
          <w:lang w:eastAsia="fr-FR" w:bidi="fr-FR"/>
        </w:rPr>
        <w:tab/>
        <w:t>Afin d'atteindre les objectifs d'Eurostars-2, l'ESE devrait être chargé de l'organisation des appels à propositions, de la vérification des critères de recevabilité, de l'évaluation par les pairs et de la sélection et du suivi des projets, ainsi que de l'attribution de la contribution de l'Union. L'évaluation des propositions devrait être réalisée de manière centrale par des experts externes indépendants sous la responsabilité de l'ESE à la suite d'appels à propositions. La liste de classement des projets devrait être contraignante pour les États participants en ce qui concerne l'attribution des fonds provenant de la contribution financière de l'Union et de la contribution des États participants.</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(21)</w:t>
      </w:r>
      <w:r w:rsidRPr="00255D29">
        <w:rPr>
          <w:szCs w:val="24"/>
          <w:lang w:eastAsia="fr-FR" w:bidi="fr-FR"/>
        </w:rPr>
        <w:tab/>
        <w:t xml:space="preserve">Dans l'ensemble, Eurostars-2 devrait démontrer une nette avancée vers un alignement et une synchronisation accrus des programmes nationaux de recherche et d'innovation en tant que véritable programme commun caractérisé par une synchronisation plus importante sur les plans scientifique, financier et de la gestion. Une intégration scientifique plus poussée devrait être possible grâce à une définition et une mise en œuvre communes des activités et devrait garantir l'excellence et l'impact élevé des projets sélectionnés. L'intégration au niveau de la gestion devrait garantir la poursuite de l'amélioration de l'excellence opérationnelle et du système de responsabilité du programme. L'intégration financière plus poussée devrait être fondée sur une contribution financière adéquate, globale et annuelle des États participant à Eurostars-2 et sur un degré élevé de synchronisation nationale. Cet objectif devrait être atteint en harmonisant progressivement les règles nationales de financement.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(22)</w:t>
      </w:r>
      <w:r w:rsidRPr="00255D29">
        <w:rPr>
          <w:szCs w:val="24"/>
          <w:lang w:eastAsia="fr-FR" w:bidi="fr-FR"/>
        </w:rPr>
        <w:tab/>
        <w:t>La contribution financière de l'Union devrait être gérée conformément au principe de bonne gestion financière et aux règles relatives à la gestion indirecte énoncées dans le règlement (UE, Euratom) n° 966/2012 du Parlement européen et du Conseil</w:t>
      </w:r>
      <w:r w:rsidRPr="00255D29">
        <w:rPr>
          <w:b/>
          <w:szCs w:val="24"/>
          <w:vertAlign w:val="superscript"/>
          <w:lang w:eastAsia="fr-FR" w:bidi="fr-FR"/>
        </w:rPr>
        <w:footnoteReference w:id="31"/>
      </w:r>
      <w:r w:rsidRPr="00255D29">
        <w:rPr>
          <w:szCs w:val="24"/>
          <w:lang w:eastAsia="fr-FR" w:bidi="fr-FR"/>
        </w:rPr>
        <w:t xml:space="preserve"> et dans le règlement délégué (UE) n° 1268/2012 de la Commission</w:t>
      </w:r>
      <w:r w:rsidRPr="00255D29">
        <w:rPr>
          <w:b/>
          <w:szCs w:val="24"/>
          <w:vertAlign w:val="superscript"/>
          <w:lang w:eastAsia="fr-FR" w:bidi="fr-FR"/>
        </w:rPr>
        <w:footnoteReference w:id="32"/>
      </w:r>
      <w:r w:rsidRPr="00255D29">
        <w:rPr>
          <w:szCs w:val="24"/>
          <w:lang w:eastAsia="fr-FR" w:bidi="fr-FR"/>
        </w:rPr>
        <w:t xml:space="preserve">.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(23)</w:t>
      </w:r>
      <w:r w:rsidRPr="00255D29">
        <w:rPr>
          <w:szCs w:val="24"/>
          <w:lang w:eastAsia="fr-FR" w:bidi="fr-FR"/>
        </w:rPr>
        <w:tab/>
        <w:t xml:space="preserve">Afin de protéger les intérêts financiers de l'Union, la Commission devrait avoir le droit de réduire la contribution financière de l'Union, de la suspendre ou d'y mettre fin si Eurostars-2 est mis en œuvre de manière inappropriée, partielle ou tardive, ou si les États participants ne contribuent pas ou contribuent de manière partielle ou tardive au financement d'Eurostars-2. Ce droit devrait être prévu dans la convention de délégation à conclure entre l'Union et le secrétariat d'Eureka.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(24)</w:t>
      </w:r>
      <w:r w:rsidRPr="00255D29">
        <w:rPr>
          <w:szCs w:val="24"/>
          <w:lang w:eastAsia="fr-FR" w:bidi="fr-FR"/>
        </w:rPr>
        <w:tab/>
        <w:t>La participation aux actions indirectes financées par Eurostars-2 est soumise au règlement (UE) n° </w:t>
      </w:r>
      <w:r w:rsidRPr="00255D29">
        <w:rPr>
          <w:b/>
          <w:i/>
          <w:color w:val="000000"/>
          <w:szCs w:val="24"/>
          <w:lang w:eastAsia="fr-FR" w:bidi="fr-FR"/>
        </w:rPr>
        <w:t>1290</w:t>
      </w:r>
      <w:r w:rsidRPr="00255D29">
        <w:rPr>
          <w:szCs w:val="24"/>
          <w:lang w:eastAsia="fr-FR" w:bidi="fr-FR"/>
        </w:rPr>
        <w:t>/2013 du Parlement européen et du Conseil</w:t>
      </w:r>
      <w:r w:rsidRPr="00255D29">
        <w:rPr>
          <w:b/>
          <w:szCs w:val="24"/>
          <w:vertAlign w:val="superscript"/>
          <w:lang w:eastAsia="fr-FR" w:bidi="fr-FR"/>
        </w:rPr>
        <w:footnoteReference w:id="33"/>
      </w:r>
      <w:r w:rsidRPr="00255D29">
        <w:rPr>
          <w:szCs w:val="24"/>
          <w:lang w:eastAsia="fr-FR" w:bidi="fr-FR"/>
        </w:rPr>
        <w:t>. Toutefois, en raison des besoins opérationnels spécifiques d'Eurostars-2, il est nécessaire de prévoir des dérogations à ce règlement conformément à l'article 1</w:t>
      </w:r>
      <w:r w:rsidRPr="00255D29">
        <w:rPr>
          <w:szCs w:val="24"/>
          <w:vertAlign w:val="superscript"/>
          <w:lang w:eastAsia="fr-FR" w:bidi="fr-FR"/>
        </w:rPr>
        <w:t>er</w:t>
      </w:r>
      <w:r w:rsidRPr="00255D29">
        <w:rPr>
          <w:szCs w:val="24"/>
          <w:lang w:eastAsia="fr-FR" w:bidi="fr-FR"/>
        </w:rPr>
        <w:t>, paragraphe 3</w:t>
      </w:r>
      <w:r w:rsidRPr="00255D29">
        <w:rPr>
          <w:color w:val="000000"/>
          <w:szCs w:val="24"/>
          <w:lang w:eastAsia="fr-FR" w:bidi="fr-FR"/>
        </w:rPr>
        <w:t>, dudit règlement ▌</w:t>
      </w:r>
      <w:r w:rsidRPr="00255D29">
        <w:rPr>
          <w:szCs w:val="24"/>
          <w:lang w:eastAsia="fr-FR" w:bidi="fr-FR"/>
        </w:rPr>
        <w:t>.</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(25)</w:t>
      </w:r>
      <w:r w:rsidRPr="00255D29">
        <w:rPr>
          <w:szCs w:val="24"/>
          <w:lang w:eastAsia="fr-FR" w:bidi="fr-FR"/>
        </w:rPr>
        <w:tab/>
        <w:t>Afin de faciliter la participation des PME qui sont plus habituées aux canaux nationaux et qui, autrement, ne mèneraient des activités de recherche qu'à l'intérieur de leurs frontières nationales, la contribution financière d'Eurostars-2 devrait être accordée conformément aux règles bien connues des programmes nationaux et mise en œuvre au moyen d'une convention de financement administrée directement par les autorités nationales, combinant le financement de l'Union et les financement nationaux correspondants. Il convient dès lors de prévoir une dérogation à l'article </w:t>
      </w:r>
      <w:r w:rsidRPr="00255D29">
        <w:rPr>
          <w:b/>
          <w:i/>
          <w:iCs/>
          <w:szCs w:val="24"/>
          <w:lang w:eastAsia="fr-FR" w:bidi="fr-FR"/>
        </w:rPr>
        <w:t>15, paragraphe 9</w:t>
      </w:r>
      <w:r w:rsidRPr="00255D29">
        <w:rPr>
          <w:szCs w:val="24"/>
          <w:lang w:eastAsia="fr-FR" w:bidi="fr-FR"/>
        </w:rPr>
        <w:t xml:space="preserve">, à l'article </w:t>
      </w:r>
      <w:r w:rsidRPr="00255D29">
        <w:rPr>
          <w:b/>
          <w:i/>
          <w:iCs/>
          <w:szCs w:val="24"/>
          <w:lang w:eastAsia="fr-FR" w:bidi="fr-FR"/>
        </w:rPr>
        <w:t>18</w:t>
      </w:r>
      <w:r w:rsidRPr="00255D29">
        <w:rPr>
          <w:szCs w:val="24"/>
          <w:lang w:eastAsia="fr-FR" w:bidi="fr-FR"/>
        </w:rPr>
        <w:t xml:space="preserve">, paragraphe 1, à l'article </w:t>
      </w:r>
      <w:r w:rsidRPr="00255D29">
        <w:rPr>
          <w:b/>
          <w:i/>
          <w:iCs/>
          <w:szCs w:val="24"/>
          <w:lang w:eastAsia="fr-FR" w:bidi="fr-FR"/>
        </w:rPr>
        <w:t>23</w:t>
      </w:r>
      <w:r w:rsidRPr="00255D29">
        <w:rPr>
          <w:szCs w:val="24"/>
          <w:lang w:eastAsia="fr-FR" w:bidi="fr-FR"/>
        </w:rPr>
        <w:t xml:space="preserve">, paragraphes 1 et 5 à 7, et aux articles 28 </w:t>
      </w:r>
      <w:r w:rsidRPr="00255D29">
        <w:rPr>
          <w:b/>
          <w:i/>
          <w:iCs/>
          <w:szCs w:val="24"/>
          <w:lang w:eastAsia="fr-FR" w:bidi="fr-FR"/>
        </w:rPr>
        <w:t>à 34</w:t>
      </w:r>
      <w:r w:rsidRPr="00255D29">
        <w:rPr>
          <w:szCs w:val="24"/>
          <w:lang w:eastAsia="fr-FR" w:bidi="fr-FR"/>
        </w:rPr>
        <w:t xml:space="preserve"> du règlement (UE) n°</w:t>
      </w:r>
      <w:r w:rsidRPr="00255D29">
        <w:rPr>
          <w:i/>
          <w:szCs w:val="24"/>
          <w:lang w:eastAsia="fr-FR" w:bidi="fr-FR"/>
        </w:rPr>
        <w:t xml:space="preserve"> </w:t>
      </w:r>
      <w:r w:rsidRPr="00255D29">
        <w:rPr>
          <w:b/>
          <w:i/>
          <w:szCs w:val="24"/>
          <w:lang w:eastAsia="fr-FR" w:bidi="fr-FR"/>
        </w:rPr>
        <w:t>1290/2013.</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b/>
          <w:i/>
          <w:color w:val="000000"/>
          <w:szCs w:val="24"/>
          <w:lang w:eastAsia="fr-FR" w:bidi="fr-FR"/>
        </w:rPr>
        <w:t>(26)</w:t>
      </w:r>
      <w:r w:rsidRPr="00255D29">
        <w:rPr>
          <w:szCs w:val="24"/>
          <w:lang w:eastAsia="fr-FR" w:bidi="fr-FR"/>
        </w:rPr>
        <w:tab/>
      </w:r>
      <w:r w:rsidRPr="00255D29">
        <w:rPr>
          <w:b/>
          <w:i/>
          <w:color w:val="000000"/>
          <w:szCs w:val="24"/>
          <w:lang w:eastAsia="fr-FR" w:bidi="fr-FR"/>
        </w:rPr>
        <w:t>Il convient également de publier les appels à propositions lancés par Eurostars-2 sur le portail unique des participants ainsi que par d'autres moyens de diffusion électroniques dans le cadre d'Horizon 2020 gérés par la Commission.</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br w:type="page"/>
        <w:t>(27)</w:t>
      </w:r>
      <w:r w:rsidRPr="00255D29">
        <w:rPr>
          <w:szCs w:val="24"/>
          <w:lang w:eastAsia="fr-FR" w:bidi="fr-FR"/>
        </w:rPr>
        <w:tab/>
        <w:t>Les intérêts financiers de l'Union devraient être protégés au moyen de mesures proportionnées, tout au long du cycle de la dépense, y compris par la prévention et la détection des irrégularités ainsi que les enquêtes en la matière, par le recouvrement des fonds perdus, indûment versés ou mal employés et, s'il y a lieu, par l'application de sanctions administratives et financières conformément au règlement (UE, Euratom) n° 966/2012.</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(28)</w:t>
      </w:r>
      <w:r w:rsidRPr="00255D29">
        <w:rPr>
          <w:szCs w:val="24"/>
          <w:lang w:eastAsia="fr-FR" w:bidi="fr-FR"/>
        </w:rPr>
        <w:tab/>
        <w:t>La Commission,</w:t>
      </w:r>
      <w:r w:rsidRPr="00255D29">
        <w:rPr>
          <w:b/>
          <w:i/>
          <w:color w:val="000000"/>
          <w:szCs w:val="24"/>
          <w:lang w:eastAsia="fr-FR" w:bidi="fr-FR"/>
        </w:rPr>
        <w:t xml:space="preserve"> en coopération avec les États participants</w:t>
      </w:r>
      <w:r w:rsidRPr="00255D29">
        <w:rPr>
          <w:szCs w:val="24"/>
          <w:lang w:eastAsia="fr-FR" w:bidi="fr-FR"/>
        </w:rPr>
        <w:t xml:space="preserve">, devrait procéder à une évaluation intermédiaire consistant à apprécier, en particulier, la qualité et l'efficacité d'Eurostars-2 et les progrès accomplis par rapport aux objectifs fixés, procéder à une évaluation finale et établir un rapport sur ces évaluations.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(29)</w:t>
      </w:r>
      <w:r w:rsidRPr="00255D29">
        <w:rPr>
          <w:szCs w:val="24"/>
          <w:lang w:eastAsia="fr-FR" w:bidi="fr-FR"/>
        </w:rPr>
        <w:tab/>
        <w:t xml:space="preserve">À la demande de la Commission, l'ESE et les États participants devraient fournir toutes les informations que la Commission doit inclure dans les rapports d'évaluation d'Eurostars-2. </w:t>
      </w:r>
    </w:p>
    <w:p w:rsidR="002022AB" w:rsidRPr="00255D29" w:rsidRDefault="002022AB" w:rsidP="00075179">
      <w:pPr>
        <w:autoSpaceDE w:val="0"/>
        <w:autoSpaceDN w:val="0"/>
        <w:adjustRightInd w:val="0"/>
        <w:spacing w:before="120" w:after="120" w:line="360" w:lineRule="auto"/>
        <w:ind w:left="709" w:hanging="709"/>
        <w:rPr>
          <w:szCs w:val="24"/>
          <w:lang w:eastAsia="fr-FR" w:bidi="fr-FR"/>
        </w:rPr>
      </w:pPr>
      <w:r w:rsidRPr="00255D29">
        <w:rPr>
          <w:szCs w:val="24"/>
          <w:lang w:eastAsia="fr-FR" w:bidi="fr-FR"/>
        </w:rPr>
        <w:t>(30)</w:t>
      </w:r>
      <w:r w:rsidRPr="00255D29">
        <w:rPr>
          <w:szCs w:val="24"/>
          <w:lang w:eastAsia="fr-FR" w:bidi="fr-FR"/>
        </w:rPr>
        <w:tab/>
        <w:t>Étant donné que les objectifs de la présente décision, à savoir soutenir les activités de recherche transnationales effectuées par des PME à forte intensité de recherche et contribuer à l'intégration, à l'alignement et à la synchronisation des programmes nationaux de financement de la recherche, ne peuvent pas être atteints de manière suffisante par les  États membres en raison de l'absence de dimension transnationale et de complémentarité et d'interopérabilité des programmes nationaux, mais peuvent, en raison des dimensions ou des effets de l'action, l'être mieux au niveau de l'Union, celle-ci peut prendre des mesures conformément au principe de subsidiarité consacré à l'article 5 du traité sur l'Union européenne. Conformément au principe de proportionnalité tel qu'énoncé audit article, la présente décision n'excède pas ce qui est nécessaire pour atteindre ces objectifs,</w:t>
      </w:r>
    </w:p>
    <w:p w:rsidR="002022AB" w:rsidRPr="00255D29" w:rsidRDefault="002022AB" w:rsidP="00075179">
      <w:pPr>
        <w:autoSpaceDE w:val="0"/>
        <w:autoSpaceDN w:val="0"/>
        <w:adjustRightInd w:val="0"/>
        <w:spacing w:before="120" w:after="120" w:line="360" w:lineRule="auto"/>
        <w:outlineLvl w:val="0"/>
        <w:rPr>
          <w:szCs w:val="24"/>
          <w:lang w:eastAsia="fr-FR" w:bidi="fr-FR"/>
        </w:rPr>
      </w:pPr>
      <w:r w:rsidRPr="00255D29">
        <w:rPr>
          <w:szCs w:val="24"/>
          <w:lang w:eastAsia="fr-FR" w:bidi="fr-FR"/>
        </w:rPr>
        <w:t>ONT ADOPTÉ LA PRÉSENTE DÉCISION:</w:t>
      </w:r>
    </w:p>
    <w:p w:rsidR="002022AB" w:rsidRPr="00255D29" w:rsidRDefault="002022AB" w:rsidP="00075179">
      <w:pPr>
        <w:autoSpaceDE w:val="0"/>
        <w:autoSpaceDN w:val="0"/>
        <w:adjustRightInd w:val="0"/>
        <w:spacing w:before="120" w:after="120" w:line="360" w:lineRule="auto"/>
        <w:jc w:val="center"/>
        <w:outlineLvl w:val="0"/>
        <w:rPr>
          <w:i/>
          <w:iCs/>
          <w:szCs w:val="24"/>
          <w:lang w:eastAsia="fr-FR" w:bidi="fr-FR"/>
        </w:rPr>
      </w:pPr>
      <w:r w:rsidRPr="00255D29">
        <w:rPr>
          <w:szCs w:val="24"/>
          <w:lang w:eastAsia="fr-FR" w:bidi="fr-FR"/>
        </w:rPr>
        <w:br w:type="page"/>
      </w:r>
      <w:r w:rsidRPr="00255D29">
        <w:rPr>
          <w:i/>
          <w:szCs w:val="24"/>
          <w:lang w:eastAsia="fr-FR" w:bidi="fr-FR"/>
        </w:rPr>
        <w:t>Article premier</w:t>
      </w:r>
      <w:r w:rsidRPr="00255D29">
        <w:rPr>
          <w:i/>
          <w:iCs/>
          <w:szCs w:val="24"/>
          <w:lang w:eastAsia="fr-FR" w:bidi="fr-FR"/>
        </w:rPr>
        <w:br/>
      </w:r>
      <w:r w:rsidRPr="00255D29">
        <w:rPr>
          <w:i/>
          <w:szCs w:val="24"/>
          <w:lang w:eastAsia="fr-FR" w:bidi="fr-FR"/>
        </w:rPr>
        <w:t>Objet</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 xml:space="preserve">La présente décision établit les règles de participation de l'Union au deuxième programme de recherche et développement entrepris conjointement par plusieurs États membres visant à soutenir les petites et moyennes entreprises (PME) qui exercent des activités de recherche </w:t>
      </w:r>
      <w:r w:rsidRPr="00255D29">
        <w:rPr>
          <w:b/>
          <w:i/>
          <w:color w:val="000000"/>
          <w:szCs w:val="24"/>
          <w:lang w:eastAsia="fr-FR" w:bidi="fr-FR"/>
        </w:rPr>
        <w:t>et de développement</w:t>
      </w:r>
      <w:r w:rsidRPr="00255D29">
        <w:rPr>
          <w:szCs w:val="24"/>
          <w:lang w:eastAsia="fr-FR" w:bidi="fr-FR"/>
        </w:rPr>
        <w:t xml:space="preserve"> (ci</w:t>
      </w:r>
      <w:r w:rsidRPr="00255D29">
        <w:rPr>
          <w:szCs w:val="24"/>
          <w:lang w:eastAsia="fr-FR" w:bidi="fr-FR"/>
        </w:rPr>
        <w:noBreakHyphen/>
        <w:t xml:space="preserve">après dénommé "Eurostars-2"), ainsi que les conditions de cette participation. </w:t>
      </w:r>
    </w:p>
    <w:p w:rsidR="002022AB" w:rsidRPr="00255D29" w:rsidRDefault="002022AB" w:rsidP="00075179">
      <w:pPr>
        <w:autoSpaceDE w:val="0"/>
        <w:autoSpaceDN w:val="0"/>
        <w:adjustRightInd w:val="0"/>
        <w:spacing w:before="240" w:after="120" w:line="360" w:lineRule="auto"/>
        <w:jc w:val="center"/>
        <w:rPr>
          <w:i/>
          <w:iCs/>
          <w:szCs w:val="24"/>
          <w:lang w:eastAsia="fr-FR" w:bidi="fr-FR"/>
        </w:rPr>
      </w:pPr>
      <w:r w:rsidRPr="00255D29">
        <w:rPr>
          <w:i/>
          <w:szCs w:val="24"/>
          <w:lang w:eastAsia="fr-FR" w:bidi="fr-FR"/>
        </w:rPr>
        <w:t>Article 2</w:t>
      </w:r>
      <w:r w:rsidRPr="00255D29">
        <w:rPr>
          <w:i/>
          <w:iCs/>
          <w:szCs w:val="24"/>
          <w:lang w:eastAsia="fr-FR" w:bidi="fr-FR"/>
        </w:rPr>
        <w:br/>
      </w:r>
      <w:r w:rsidRPr="00255D29">
        <w:rPr>
          <w:i/>
          <w:szCs w:val="24"/>
          <w:lang w:eastAsia="fr-FR" w:bidi="fr-FR"/>
        </w:rPr>
        <w:t>Définitions</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Aux fins de la présente décision, on entend par:</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"PME", les micro, petites et moyennes entreprises telles que définies dans la recommandation 2003/361/CE;</w:t>
      </w:r>
    </w:p>
    <w:p w:rsidR="002022AB" w:rsidRPr="00255D29" w:rsidRDefault="002022AB" w:rsidP="00075179">
      <w:pPr>
        <w:autoSpaceDE w:val="0"/>
        <w:autoSpaceDN w:val="0"/>
        <w:adjustRightInd w:val="0"/>
        <w:spacing w:before="120" w:after="120" w:line="360" w:lineRule="auto"/>
        <w:ind w:left="850" w:hanging="850"/>
        <w:jc w:val="both"/>
        <w:rPr>
          <w:szCs w:val="24"/>
          <w:lang w:eastAsia="fr-FR" w:bidi="fr-FR"/>
        </w:rPr>
      </w:pPr>
      <w:r w:rsidRPr="00255D29">
        <w:rPr>
          <w:szCs w:val="24"/>
          <w:lang w:eastAsia="fr-FR" w:bidi="fr-FR"/>
        </w:rPr>
        <w:t>2)</w:t>
      </w:r>
      <w:r w:rsidRPr="00255D29">
        <w:rPr>
          <w:szCs w:val="24"/>
          <w:lang w:eastAsia="fr-FR" w:bidi="fr-FR"/>
        </w:rPr>
        <w:tab/>
        <w:t xml:space="preserve">"PME qui exerce des activités de recherche </w:t>
      </w:r>
      <w:r w:rsidRPr="00255D29">
        <w:rPr>
          <w:b/>
          <w:i/>
          <w:szCs w:val="24"/>
          <w:lang w:eastAsia="fr-FR" w:bidi="fr-FR"/>
        </w:rPr>
        <w:t>et de développement</w:t>
      </w:r>
      <w:r w:rsidRPr="00255D29">
        <w:rPr>
          <w:szCs w:val="24"/>
          <w:lang w:eastAsia="fr-FR" w:bidi="fr-FR"/>
        </w:rPr>
        <w:t>", une PME qui satisfait au moins à l'une des conditions suivantes:</w:t>
      </w:r>
    </w:p>
    <w:p w:rsidR="002022AB" w:rsidRPr="00255D29" w:rsidRDefault="002022AB" w:rsidP="00075179">
      <w:pPr>
        <w:autoSpaceDE w:val="0"/>
        <w:autoSpaceDN w:val="0"/>
        <w:adjustRightInd w:val="0"/>
        <w:spacing w:before="120" w:after="120" w:line="360" w:lineRule="auto"/>
        <w:ind w:left="1418" w:hanging="567"/>
        <w:jc w:val="both"/>
        <w:rPr>
          <w:szCs w:val="24"/>
          <w:lang w:eastAsia="fr-FR" w:bidi="fr-FR"/>
        </w:rPr>
      </w:pPr>
      <w:r w:rsidRPr="00255D29">
        <w:rPr>
          <w:szCs w:val="24"/>
          <w:lang w:eastAsia="fr-FR" w:bidi="fr-FR"/>
        </w:rPr>
        <w:t>a)</w:t>
      </w:r>
      <w:r w:rsidRPr="00255D29">
        <w:rPr>
          <w:szCs w:val="24"/>
          <w:lang w:eastAsia="fr-FR" w:bidi="fr-FR"/>
        </w:rPr>
        <w:tab/>
        <w:t xml:space="preserve">réinvestit au moins 10 % de son chiffre d'affaires dans des activités de recherche et de développement; </w:t>
      </w:r>
    </w:p>
    <w:p w:rsidR="002022AB" w:rsidRPr="00255D29" w:rsidRDefault="002022AB" w:rsidP="00075179">
      <w:pPr>
        <w:autoSpaceDE w:val="0"/>
        <w:autoSpaceDN w:val="0"/>
        <w:adjustRightInd w:val="0"/>
        <w:spacing w:before="120" w:after="120" w:line="360" w:lineRule="auto"/>
        <w:ind w:left="1418" w:hanging="567"/>
        <w:jc w:val="both"/>
        <w:rPr>
          <w:szCs w:val="24"/>
          <w:lang w:eastAsia="fr-FR" w:bidi="fr-FR"/>
        </w:rPr>
      </w:pPr>
      <w:r w:rsidRPr="00255D29">
        <w:rPr>
          <w:szCs w:val="24"/>
          <w:lang w:eastAsia="fr-FR" w:bidi="fr-FR"/>
        </w:rPr>
        <w:t>b)</w:t>
      </w:r>
      <w:r w:rsidRPr="00255D29">
        <w:rPr>
          <w:szCs w:val="24"/>
          <w:lang w:eastAsia="fr-FR" w:bidi="fr-FR"/>
        </w:rPr>
        <w:tab/>
        <w:t xml:space="preserve">consacre au moins 10 % </w:t>
      </w:r>
      <w:r w:rsidRPr="00255D29">
        <w:rPr>
          <w:b/>
          <w:i/>
          <w:color w:val="000000"/>
          <w:szCs w:val="24"/>
          <w:lang w:eastAsia="fr-FR" w:bidi="fr-FR"/>
        </w:rPr>
        <w:t>de ses</w:t>
      </w:r>
      <w:r w:rsidRPr="00255D29">
        <w:rPr>
          <w:szCs w:val="24"/>
          <w:lang w:eastAsia="fr-FR" w:bidi="fr-FR"/>
        </w:rPr>
        <w:t xml:space="preserve"> équivalents temps plein à des activités de recherche et développement;</w:t>
      </w:r>
    </w:p>
    <w:p w:rsidR="002022AB" w:rsidRPr="00255D29" w:rsidRDefault="002022AB" w:rsidP="00075179">
      <w:pPr>
        <w:autoSpaceDE w:val="0"/>
        <w:autoSpaceDN w:val="0"/>
        <w:adjustRightInd w:val="0"/>
        <w:spacing w:before="120" w:after="120" w:line="360" w:lineRule="auto"/>
        <w:ind w:left="1418" w:hanging="567"/>
        <w:jc w:val="both"/>
        <w:rPr>
          <w:b/>
          <w:i/>
          <w:color w:val="000000"/>
          <w:szCs w:val="24"/>
          <w:lang w:eastAsia="fr-FR" w:bidi="fr-FR"/>
        </w:rPr>
      </w:pPr>
      <w:r w:rsidRPr="00255D29">
        <w:rPr>
          <w:szCs w:val="24"/>
          <w:lang w:eastAsia="fr-FR" w:bidi="fr-FR"/>
        </w:rPr>
        <w:t>c)</w:t>
      </w:r>
      <w:r w:rsidRPr="00255D29">
        <w:rPr>
          <w:szCs w:val="24"/>
          <w:lang w:eastAsia="fr-FR" w:bidi="fr-FR"/>
        </w:rPr>
        <w:tab/>
      </w:r>
      <w:r w:rsidRPr="00255D29">
        <w:rPr>
          <w:b/>
          <w:i/>
          <w:color w:val="000000"/>
          <w:szCs w:val="24"/>
          <w:lang w:eastAsia="fr-FR" w:bidi="fr-FR"/>
        </w:rPr>
        <w:t>compte au moins cinq équivalents temps plein (pour les PME qui n'ont pas plus de cent équivalents temps plein) pour des activités de recherche et développement; ou</w:t>
      </w:r>
    </w:p>
    <w:p w:rsidR="002022AB" w:rsidRPr="00255D29" w:rsidRDefault="002022AB" w:rsidP="00075179">
      <w:pPr>
        <w:autoSpaceDE w:val="0"/>
        <w:autoSpaceDN w:val="0"/>
        <w:adjustRightInd w:val="0"/>
        <w:spacing w:before="120" w:after="120" w:line="360" w:lineRule="auto"/>
        <w:ind w:left="1418" w:hanging="567"/>
        <w:jc w:val="both"/>
        <w:rPr>
          <w:b/>
          <w:bCs/>
          <w:szCs w:val="24"/>
          <w:lang w:eastAsia="fr-FR" w:bidi="fr-FR"/>
        </w:rPr>
      </w:pPr>
      <w:r w:rsidRPr="00255D29">
        <w:rPr>
          <w:b/>
          <w:i/>
          <w:color w:val="000000"/>
          <w:szCs w:val="24"/>
          <w:lang w:eastAsia="fr-FR" w:bidi="fr-FR"/>
        </w:rPr>
        <w:t>d)</w:t>
      </w:r>
      <w:r w:rsidRPr="00255D29">
        <w:rPr>
          <w:b/>
          <w:i/>
          <w:color w:val="000000"/>
          <w:szCs w:val="24"/>
          <w:lang w:eastAsia="fr-FR" w:bidi="fr-FR"/>
        </w:rPr>
        <w:tab/>
        <w:t>compte dix équivalents temps plein (pour les PME qui ont plus de cent équivalents temps plein) pour des activités de recherche et développement.</w:t>
      </w:r>
    </w:p>
    <w:p w:rsidR="002022AB" w:rsidRPr="00255D29" w:rsidRDefault="002022AB" w:rsidP="00075179">
      <w:pPr>
        <w:autoSpaceDE w:val="0"/>
        <w:autoSpaceDN w:val="0"/>
        <w:adjustRightInd w:val="0"/>
        <w:spacing w:before="120" w:after="120" w:line="360" w:lineRule="auto"/>
        <w:ind w:left="1418" w:hanging="567"/>
        <w:jc w:val="center"/>
        <w:rPr>
          <w:i/>
          <w:iCs/>
          <w:szCs w:val="24"/>
          <w:lang w:eastAsia="fr-FR" w:bidi="fr-FR"/>
        </w:rPr>
      </w:pPr>
      <w:r w:rsidRPr="00255D29">
        <w:rPr>
          <w:szCs w:val="24"/>
          <w:lang w:eastAsia="fr-FR" w:bidi="fr-FR"/>
        </w:rPr>
        <w:br w:type="page"/>
      </w:r>
      <w:r w:rsidRPr="00255D29">
        <w:rPr>
          <w:i/>
          <w:szCs w:val="24"/>
          <w:lang w:eastAsia="fr-FR" w:bidi="fr-FR"/>
        </w:rPr>
        <w:t>Article 3</w:t>
      </w:r>
      <w:r w:rsidRPr="00255D29">
        <w:rPr>
          <w:i/>
          <w:iCs/>
          <w:szCs w:val="24"/>
          <w:lang w:eastAsia="fr-FR" w:bidi="fr-FR"/>
        </w:rPr>
        <w:br/>
      </w:r>
      <w:r w:rsidRPr="00255D29">
        <w:rPr>
          <w:i/>
          <w:szCs w:val="24"/>
          <w:lang w:eastAsia="fr-FR" w:bidi="fr-FR"/>
        </w:rPr>
        <w:t>Objectifs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Eurostars-2 poursuit les objectifs suivants:</w:t>
      </w:r>
    </w:p>
    <w:p w:rsidR="002022AB" w:rsidRPr="00255D29" w:rsidRDefault="002022AB" w:rsidP="00075179">
      <w:pPr>
        <w:autoSpaceDE w:val="0"/>
        <w:autoSpaceDN w:val="0"/>
        <w:adjustRightInd w:val="0"/>
        <w:spacing w:before="120" w:after="120" w:line="360" w:lineRule="auto"/>
        <w:ind w:left="850" w:hanging="850"/>
        <w:outlineLvl w:val="0"/>
        <w:rPr>
          <w:szCs w:val="24"/>
          <w:lang w:eastAsia="fr-FR" w:bidi="fr-FR"/>
        </w:rPr>
      </w:pPr>
      <w:r w:rsidRPr="00255D29">
        <w:rPr>
          <w:szCs w:val="24"/>
          <w:lang w:eastAsia="fr-FR" w:bidi="fr-FR"/>
        </w:rPr>
        <w:t>1)</w:t>
      </w:r>
      <w:r w:rsidRPr="00255D29">
        <w:rPr>
          <w:szCs w:val="24"/>
          <w:lang w:eastAsia="fr-FR" w:bidi="fr-FR"/>
        </w:rPr>
        <w:tab/>
        <w:t>promouvoir des activités de recherche qui remplissent les conditions suivantes:</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a)</w:t>
      </w:r>
      <w:r w:rsidRPr="00255D29">
        <w:rPr>
          <w:szCs w:val="24"/>
          <w:lang w:eastAsia="fr-FR" w:bidi="fr-FR"/>
        </w:rPr>
        <w:tab/>
        <w:t xml:space="preserve">les activités sont menées par des PME qui exercent des activités de recherche </w:t>
      </w:r>
      <w:r w:rsidRPr="00255D29">
        <w:rPr>
          <w:b/>
          <w:i/>
          <w:color w:val="000000"/>
          <w:szCs w:val="24"/>
          <w:lang w:eastAsia="fr-FR" w:bidi="fr-FR"/>
        </w:rPr>
        <w:t>et de développement</w:t>
      </w:r>
      <w:r w:rsidRPr="00255D29">
        <w:rPr>
          <w:szCs w:val="24"/>
          <w:lang w:eastAsia="fr-FR" w:bidi="fr-FR"/>
        </w:rPr>
        <w:t xml:space="preserve">, selon une collaboration transnationale entre elles ou avec d'autres acteurs de la chaîne de l'innovation (par exemple, les universités ou les organismes de recherche);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 xml:space="preserve">les résultats des activités devraient être introduits sur le marché dans un délai de deux ans à compter de la fin des activités;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accroître l'accessibilité, l'efficience et l'efficacité du financement public pour les PME en Europe en alignant, en harmonisant et en synchronisant les mécanismes de financement nationaux des États participants;</w:t>
      </w:r>
    </w:p>
    <w:p w:rsidR="002022AB" w:rsidRPr="00255D29" w:rsidRDefault="002022AB" w:rsidP="00075179">
      <w:pPr>
        <w:autoSpaceDE w:val="0"/>
        <w:autoSpaceDN w:val="0"/>
        <w:adjustRightInd w:val="0"/>
        <w:spacing w:before="120" w:after="120" w:line="360" w:lineRule="auto"/>
        <w:ind w:left="850" w:hanging="850"/>
        <w:outlineLvl w:val="0"/>
        <w:rPr>
          <w:szCs w:val="24"/>
          <w:lang w:eastAsia="fr-FR" w:bidi="fr-FR"/>
        </w:rPr>
      </w:pPr>
      <w:r w:rsidRPr="00255D29">
        <w:rPr>
          <w:szCs w:val="24"/>
          <w:lang w:eastAsia="fr-FR" w:bidi="fr-FR"/>
        </w:rPr>
        <w:t>3)</w:t>
      </w:r>
      <w:r w:rsidRPr="00255D29">
        <w:rPr>
          <w:szCs w:val="24"/>
          <w:lang w:eastAsia="fr-FR" w:bidi="fr-FR"/>
        </w:rPr>
        <w:tab/>
        <w:t xml:space="preserve">encourager </w:t>
      </w:r>
      <w:r w:rsidRPr="00255D29">
        <w:rPr>
          <w:b/>
          <w:i/>
          <w:color w:val="000000"/>
          <w:szCs w:val="24"/>
          <w:lang w:eastAsia="fr-FR" w:bidi="fr-FR"/>
        </w:rPr>
        <w:t>et accroître</w:t>
      </w:r>
      <w:r w:rsidRPr="00255D29">
        <w:rPr>
          <w:szCs w:val="24"/>
          <w:lang w:eastAsia="fr-FR" w:bidi="fr-FR"/>
        </w:rPr>
        <w:t xml:space="preserve"> la participation des PME ne disposant pas d'expérience préalable dans la recherche transnationale.</w:t>
      </w:r>
    </w:p>
    <w:p w:rsidR="002022AB" w:rsidRPr="00255D29" w:rsidRDefault="002022AB" w:rsidP="00075179">
      <w:pPr>
        <w:autoSpaceDE w:val="0"/>
        <w:autoSpaceDN w:val="0"/>
        <w:adjustRightInd w:val="0"/>
        <w:spacing w:before="120" w:after="120" w:line="360" w:lineRule="auto"/>
        <w:jc w:val="center"/>
        <w:outlineLvl w:val="0"/>
        <w:rPr>
          <w:i/>
          <w:iCs/>
          <w:szCs w:val="24"/>
          <w:lang w:eastAsia="fr-FR" w:bidi="fr-FR"/>
        </w:rPr>
      </w:pPr>
      <w:r w:rsidRPr="00255D29">
        <w:rPr>
          <w:szCs w:val="24"/>
          <w:lang w:eastAsia="fr-FR" w:bidi="fr-FR"/>
        </w:rPr>
        <w:br w:type="page"/>
      </w:r>
      <w:r w:rsidRPr="00255D29">
        <w:rPr>
          <w:i/>
          <w:szCs w:val="24"/>
          <w:lang w:eastAsia="fr-FR" w:bidi="fr-FR"/>
        </w:rPr>
        <w:t>Article 4</w:t>
      </w:r>
      <w:r w:rsidRPr="00255D29">
        <w:rPr>
          <w:i/>
          <w:iCs/>
          <w:szCs w:val="24"/>
          <w:lang w:eastAsia="fr-FR" w:bidi="fr-FR"/>
        </w:rPr>
        <w:br/>
      </w:r>
      <w:r w:rsidRPr="00255D29">
        <w:rPr>
          <w:i/>
          <w:szCs w:val="24"/>
          <w:lang w:eastAsia="fr-FR" w:bidi="fr-FR"/>
        </w:rPr>
        <w:t xml:space="preserve"> Participation à Eurostars-2 </w:t>
      </w:r>
      <w:r w:rsidRPr="00255D29">
        <w:rPr>
          <w:b/>
          <w:i/>
          <w:color w:val="000000"/>
          <w:szCs w:val="24"/>
          <w:lang w:eastAsia="fr-FR" w:bidi="fr-FR"/>
        </w:rPr>
        <w:t>et partenariat avec</w:t>
      </w:r>
      <w:r w:rsidRPr="00255D29">
        <w:rPr>
          <w:i/>
          <w:szCs w:val="24"/>
          <w:lang w:eastAsia="fr-FR" w:bidi="fr-FR"/>
        </w:rPr>
        <w:t xml:space="preserve"> Eurostars-2</w:t>
      </w:r>
    </w:p>
    <w:p w:rsidR="002022AB" w:rsidRPr="00255D29" w:rsidRDefault="002022AB" w:rsidP="00075179">
      <w:pPr>
        <w:autoSpaceDE w:val="0"/>
        <w:autoSpaceDN w:val="0"/>
        <w:adjustRightInd w:val="0"/>
        <w:spacing w:before="120" w:after="120" w:line="360" w:lineRule="auto"/>
        <w:ind w:left="850" w:hanging="850"/>
        <w:rPr>
          <w:rFonts w:eastAsia="Calibri" w:cs="Arial"/>
          <w:szCs w:val="22"/>
          <w:lang w:eastAsia="fr-FR" w:bidi="fr-FR"/>
        </w:rPr>
      </w:pPr>
      <w:r w:rsidRPr="00255D29">
        <w:rPr>
          <w:szCs w:val="24"/>
          <w:lang w:eastAsia="fr-FR" w:bidi="fr-FR"/>
        </w:rPr>
        <w:t>1.</w:t>
      </w:r>
      <w:r w:rsidRPr="00255D29">
        <w:rPr>
          <w:szCs w:val="24"/>
          <w:lang w:eastAsia="fr-FR" w:bidi="fr-FR"/>
        </w:rPr>
        <w:tab/>
        <w:t>L'Union participe à Eurostars-2, entrepris conjointement par l'Allemagne, l'Autriche, la Belgique, la Bulgarie, Chypre, la Croatie, le Danemark, l'Espagne, l'Estonie, la Finlande, la France, la Grèce, la Hongrie, l'Irlande, l'Islande, Israël, l'Italie, la Lettonie, la Lituanie, le Luxembourg, Malte, la Norvège, les Pays-Bas, la Pologne, le Portugal, la Roumanie, la Slovaquie, la Slovénie, la Suède, la Suisse, la République tchèque, le Royaume-Uni et la Turquie (ci-après dénommés "États participants"), conformément aux conditions prévues dans la présente décision.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Tout autre État membre autre que ceux énumérés au paragraphe 1 ou tout autre pays associé à Horizon 2020 peut participer à Eurostars-2 dans la mesure où il remplit la condition prévue à l'article 6, paragraphe 1, point c), de la présente décision. S'il remplit la condition prévue à l'article 6, paragraphe 1, point c), il est considéré comme un État participant aux fins de la présente décision.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b/>
          <w:i/>
          <w:color w:val="000000"/>
          <w:szCs w:val="24"/>
          <w:lang w:eastAsia="fr-FR" w:bidi="fr-FR"/>
        </w:rPr>
        <w:t>3.</w:t>
      </w:r>
      <w:r w:rsidRPr="00255D29">
        <w:rPr>
          <w:szCs w:val="24"/>
          <w:lang w:eastAsia="fr-FR" w:bidi="fr-FR"/>
        </w:rPr>
        <w:tab/>
      </w:r>
      <w:r w:rsidRPr="00255D29">
        <w:rPr>
          <w:b/>
          <w:i/>
          <w:color w:val="000000"/>
          <w:szCs w:val="24"/>
          <w:lang w:eastAsia="fr-FR" w:bidi="fr-FR"/>
        </w:rPr>
        <w:t>Tout membre d'Eureka ou pays associé à Eureka qui n'est pas un État membre ou un pays associé à Horizon 2020 peut devenir un pays partenaire d'Eurostars-2 dans la mesure où il remplit la condition prévue à l'article 6, paragraphe 1, point c). Ces membres d'Eureka ou pays associés à Eureka qui remplissent la condition prévue à l'article 6, paragraphe 1, point c), sont considérés comme des pays partenaires aux fins de la présente décision. Les entités juridiques établies dans ces pays partenaires ne peuvent être éligibles à la contribution financière de l'Union au titre d'Eurostars-2.</w:t>
      </w:r>
    </w:p>
    <w:p w:rsidR="002022AB" w:rsidRPr="00255D29" w:rsidRDefault="002022AB" w:rsidP="00075179">
      <w:pPr>
        <w:autoSpaceDE w:val="0"/>
        <w:autoSpaceDN w:val="0"/>
        <w:adjustRightInd w:val="0"/>
        <w:spacing w:before="120" w:after="120" w:line="360" w:lineRule="auto"/>
        <w:ind w:left="850" w:hanging="850"/>
        <w:jc w:val="center"/>
        <w:rPr>
          <w:i/>
          <w:iCs/>
          <w:szCs w:val="24"/>
          <w:lang w:eastAsia="fr-FR" w:bidi="fr-FR"/>
        </w:rPr>
      </w:pPr>
      <w:r w:rsidRPr="00255D29">
        <w:rPr>
          <w:szCs w:val="24"/>
          <w:lang w:eastAsia="fr-FR" w:bidi="fr-FR"/>
        </w:rPr>
        <w:br w:type="page"/>
      </w:r>
      <w:r w:rsidRPr="00255D29">
        <w:rPr>
          <w:i/>
          <w:szCs w:val="24"/>
          <w:lang w:eastAsia="fr-FR" w:bidi="fr-FR"/>
        </w:rPr>
        <w:t>Article 5</w:t>
      </w:r>
      <w:r w:rsidRPr="00255D29">
        <w:rPr>
          <w:i/>
          <w:iCs/>
          <w:szCs w:val="24"/>
          <w:lang w:eastAsia="fr-FR" w:bidi="fr-FR"/>
        </w:rPr>
        <w:br/>
      </w:r>
      <w:r w:rsidRPr="00255D29">
        <w:rPr>
          <w:i/>
          <w:szCs w:val="24"/>
          <w:lang w:eastAsia="fr-FR" w:bidi="fr-FR"/>
        </w:rPr>
        <w:t>Contribution financière de l'Union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La contribution financière de l'Union, y compris les crédits AELE, à Eurostars-2 est de maximum 287 000 000 EUR</w:t>
      </w:r>
      <w:r w:rsidRPr="00255D29">
        <w:rPr>
          <w:color w:val="000000"/>
          <w:szCs w:val="24"/>
          <w:vertAlign w:val="superscript"/>
          <w:lang w:eastAsia="fr-FR" w:bidi="fr-FR"/>
        </w:rPr>
        <w:t>▌</w:t>
      </w:r>
      <w:r w:rsidRPr="00255D29">
        <w:rPr>
          <w:szCs w:val="24"/>
          <w:lang w:eastAsia="fr-FR" w:bidi="fr-FR"/>
        </w:rPr>
        <w:t>. La contribution financière de l'Union est prélevée sur les crédits du budget général de l'Union alloués aux sections concernées du programme spécifique d'exécution d'Horizon 2020, établi par la décision 2013/</w:t>
      </w:r>
      <w:r w:rsidRPr="00255D29">
        <w:rPr>
          <w:b/>
          <w:bCs/>
          <w:i/>
          <w:iCs/>
          <w:szCs w:val="24"/>
          <w:lang w:eastAsia="fr-FR" w:bidi="fr-FR"/>
        </w:rPr>
        <w:t>743</w:t>
      </w:r>
      <w:r w:rsidRPr="00255D29">
        <w:rPr>
          <w:szCs w:val="24"/>
          <w:lang w:eastAsia="fr-FR" w:bidi="fr-FR"/>
        </w:rPr>
        <w:t>/UE, conformément à l'article 58, paragraphe 1, point c) vi), et aux articles 60 et 61 du règlement (UE, Euratom) n° 966/2012, et en particulier sur les crédits alloués au titre de la rubrique "Innovation dans les PME" figurant à la section II.</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La contribution de l'Union correspond à </w:t>
      </w:r>
      <w:r w:rsidRPr="00255D29">
        <w:rPr>
          <w:b/>
          <w:i/>
          <w:color w:val="000000"/>
          <w:szCs w:val="24"/>
          <w:lang w:eastAsia="fr-FR" w:bidi="fr-FR"/>
        </w:rPr>
        <w:t>au moins</w:t>
      </w:r>
      <w:r w:rsidRPr="00255D29">
        <w:rPr>
          <w:szCs w:val="24"/>
          <w:lang w:eastAsia="fr-FR" w:bidi="fr-FR"/>
        </w:rPr>
        <w:t xml:space="preserve"> un tiers des contributions des États participants visés à l'article 7, paragraphe 1, point a), et ne peut dépasser le montant prévu au paragraphe 1. Elle couvre ▌les coûts opérationnels, </w:t>
      </w:r>
      <w:r w:rsidRPr="00255D29">
        <w:rPr>
          <w:b/>
          <w:i/>
          <w:color w:val="000000"/>
          <w:szCs w:val="24"/>
          <w:lang w:eastAsia="fr-FR" w:bidi="fr-FR"/>
        </w:rPr>
        <w:t>y compris les coûts de l'évaluation des propositions, et les frais administratifs. S'il y a lieu d'adapter le taux de la contribution de l'Union pendant la durée d'Eurostars-2, cette contribution peut s'élever au maximum à la moitié des contributions des États participants visées à l'article 7, paragraphe 1, point a)..</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3.</w:t>
      </w:r>
      <w:r w:rsidRPr="00255D29">
        <w:rPr>
          <w:szCs w:val="24"/>
          <w:lang w:eastAsia="fr-FR" w:bidi="fr-FR"/>
        </w:rPr>
        <w:tab/>
        <w:t xml:space="preserve">La contribution financière de l'Union visée au paragraphe 1 peut être utilisée jusqu'à hauteur de </w:t>
      </w:r>
      <w:r w:rsidRPr="00255D29">
        <w:rPr>
          <w:b/>
          <w:i/>
          <w:szCs w:val="24"/>
          <w:lang w:eastAsia="fr-FR" w:bidi="fr-FR"/>
        </w:rPr>
        <w:t>4 %</w:t>
      </w:r>
      <w:r w:rsidRPr="00255D29">
        <w:rPr>
          <w:szCs w:val="24"/>
          <w:lang w:eastAsia="fr-FR" w:bidi="fr-FR"/>
        </w:rPr>
        <w:t xml:space="preserve"> pour contribuer aux frais administratifs d'Eurostars-2. Les États participants prennent en charge les frais administratifs </w:t>
      </w:r>
      <w:r w:rsidRPr="00255D29">
        <w:rPr>
          <w:b/>
          <w:i/>
          <w:color w:val="000000"/>
          <w:szCs w:val="24"/>
          <w:lang w:eastAsia="fr-FR" w:bidi="fr-FR"/>
        </w:rPr>
        <w:t>nationaux</w:t>
      </w:r>
      <w:r w:rsidRPr="00255D29">
        <w:rPr>
          <w:szCs w:val="24"/>
          <w:lang w:eastAsia="fr-FR" w:bidi="fr-FR"/>
        </w:rPr>
        <w:t xml:space="preserve"> nécessaires à la mise en œuvre d'Eurostars-2.</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szCs w:val="24"/>
          <w:lang w:eastAsia="fr-FR" w:bidi="fr-FR"/>
        </w:rPr>
        <w:br w:type="page"/>
      </w:r>
      <w:r w:rsidRPr="00255D29">
        <w:rPr>
          <w:i/>
          <w:szCs w:val="24"/>
          <w:lang w:eastAsia="fr-FR" w:bidi="fr-FR"/>
        </w:rPr>
        <w:t>Article 6</w:t>
      </w:r>
      <w:r w:rsidRPr="00255D29">
        <w:rPr>
          <w:i/>
          <w:iCs/>
          <w:szCs w:val="24"/>
          <w:lang w:eastAsia="fr-FR" w:bidi="fr-FR"/>
        </w:rPr>
        <w:br/>
      </w:r>
      <w:r w:rsidRPr="00255D29">
        <w:rPr>
          <w:i/>
          <w:szCs w:val="24"/>
          <w:lang w:eastAsia="fr-FR" w:bidi="fr-FR"/>
        </w:rPr>
        <w:t>Conditions applicables à la contribution financière de l'Union</w:t>
      </w:r>
    </w:p>
    <w:p w:rsidR="002022AB" w:rsidRPr="00255D29" w:rsidRDefault="002022AB" w:rsidP="00075179">
      <w:pPr>
        <w:autoSpaceDE w:val="0"/>
        <w:autoSpaceDN w:val="0"/>
        <w:adjustRightInd w:val="0"/>
        <w:spacing w:before="120" w:after="120" w:line="360" w:lineRule="auto"/>
        <w:ind w:left="850" w:hanging="850"/>
        <w:outlineLvl w:val="0"/>
        <w:rPr>
          <w:szCs w:val="24"/>
          <w:lang w:eastAsia="fr-FR" w:bidi="fr-FR"/>
        </w:rPr>
      </w:pPr>
      <w:r w:rsidRPr="00255D29">
        <w:rPr>
          <w:szCs w:val="24"/>
          <w:lang w:eastAsia="fr-FR" w:bidi="fr-FR"/>
        </w:rPr>
        <w:t>1.</w:t>
      </w:r>
      <w:r w:rsidRPr="00255D29">
        <w:rPr>
          <w:szCs w:val="24"/>
          <w:lang w:eastAsia="fr-FR" w:bidi="fr-FR"/>
        </w:rPr>
        <w:tab/>
        <w:t>La contribution financière de l'Union est conditionnée par:</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a)</w:t>
      </w:r>
      <w:r w:rsidRPr="00255D29">
        <w:rPr>
          <w:szCs w:val="24"/>
          <w:lang w:eastAsia="fr-FR" w:bidi="fr-FR"/>
        </w:rPr>
        <w:tab/>
        <w:t>la démonstration par les États participants qu'ils ont mis en place Eurostars-2 conformément aux objectifs prévus à l'article 3;</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la désignation, par les États participants ou par les organisations désignées par les États participants, de l'ESE en qualité de structure chargée de la mise en œuvre d'Eurostars-2, ainsi que de la réception, de l'attribution et du suivi de la contribution financière de l'Union;</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c)</w:t>
      </w:r>
      <w:r w:rsidRPr="00255D29">
        <w:rPr>
          <w:szCs w:val="24"/>
          <w:lang w:eastAsia="fr-FR" w:bidi="fr-FR"/>
        </w:rPr>
        <w:tab/>
        <w:t>l'engagement de la part de chaque État participant à contribuer au financement d'Eurostars-2;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d)</w:t>
      </w:r>
      <w:r w:rsidRPr="00255D29">
        <w:rPr>
          <w:szCs w:val="24"/>
          <w:lang w:eastAsia="fr-FR" w:bidi="fr-FR"/>
        </w:rPr>
        <w:tab/>
        <w:t>la démonstration par l'ESE de sa capacité à mettre en œuvre Eurostars-2, y compris en ce qui concerne la réception, l'attribution et le suivi de la contribution financière de l'Union, dans le cadre de la gestion indirecte du budget de l'Union conformément aux articles 58, 60 et 61 du règlement (UE, Euratom) n° 966/2012; et</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e)</w:t>
      </w:r>
      <w:r w:rsidRPr="00255D29">
        <w:rPr>
          <w:szCs w:val="24"/>
          <w:lang w:eastAsia="fr-FR" w:bidi="fr-FR"/>
        </w:rPr>
        <w:tab/>
        <w:t>la mise en place d'un modèle de gouvernance pour Eurostars-2 conformément à l'annexe II.</w:t>
      </w:r>
    </w:p>
    <w:p w:rsidR="002022AB" w:rsidRPr="00255D29" w:rsidRDefault="002022AB" w:rsidP="00075179">
      <w:pPr>
        <w:autoSpaceDE w:val="0"/>
        <w:autoSpaceDN w:val="0"/>
        <w:adjustRightInd w:val="0"/>
        <w:spacing w:before="120" w:after="120" w:line="360" w:lineRule="auto"/>
        <w:ind w:left="850" w:hanging="850"/>
        <w:outlineLvl w:val="0"/>
        <w:rPr>
          <w:szCs w:val="24"/>
          <w:lang w:eastAsia="fr-FR" w:bidi="fr-FR"/>
        </w:rPr>
      </w:pPr>
      <w:r w:rsidRPr="00255D29">
        <w:rPr>
          <w:szCs w:val="24"/>
          <w:lang w:eastAsia="fr-FR" w:bidi="fr-FR"/>
        </w:rPr>
        <w:br w:type="page"/>
        <w:t>2.</w:t>
      </w:r>
      <w:r w:rsidRPr="00255D29">
        <w:rPr>
          <w:szCs w:val="24"/>
          <w:lang w:eastAsia="fr-FR" w:bidi="fr-FR"/>
        </w:rPr>
        <w:tab/>
        <w:t>Lors de la mise en œuvre d'Eurostars-2, la contribution financière de l'Union est également subordonnée au respect des conditions suivantes:</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a)</w:t>
      </w:r>
      <w:r w:rsidRPr="00255D29">
        <w:rPr>
          <w:szCs w:val="24"/>
          <w:lang w:eastAsia="fr-FR" w:bidi="fr-FR"/>
        </w:rPr>
        <w:tab/>
        <w:t xml:space="preserve">la mise en œuvre par l'ESE des objectifs d'Eurostars-2 énoncés à l'article 3 et des activités énoncées à l'annexe I conformément aux règles de participation et de diffusion visées à l'article 8;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le maintien d'un modèle de gouvernance approprié et efficient conformément à l'annexe II;</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c)</w:t>
      </w:r>
      <w:r w:rsidRPr="00255D29">
        <w:rPr>
          <w:szCs w:val="24"/>
          <w:lang w:eastAsia="fr-FR" w:bidi="fr-FR"/>
        </w:rPr>
        <w:tab/>
        <w:t>le respect par l'ESE des exigences en matière d'établissement de rapports énoncées à l'article 60, paragraphe 5, du règlement (UE, Euratom) n° 966/2012;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d)</w:t>
      </w:r>
      <w:r w:rsidRPr="00255D29">
        <w:rPr>
          <w:szCs w:val="24"/>
          <w:lang w:eastAsia="fr-FR" w:bidi="fr-FR"/>
        </w:rPr>
        <w:tab/>
        <w:t>le versement effectif par les États participants de la contribution financière à tous les participants aux projets Eurostars-2 sélectionnés pour le financement à la suite des appels à propositions lancés dans le cadre d'Eurostars-2, dans le respect des engagements visés au paragraphe 1, point c), du présent article;</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e)</w:t>
      </w:r>
      <w:r w:rsidRPr="00255D29">
        <w:rPr>
          <w:szCs w:val="24"/>
          <w:lang w:eastAsia="fr-FR" w:bidi="fr-FR"/>
        </w:rPr>
        <w:tab/>
        <w:t>l'attribution des fonds provenant des budgets nationaux aux projets Eurostars-2 et de la contribution financière de l'Union conformément aux listes de classement des projets; et</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f)</w:t>
      </w:r>
      <w:r w:rsidRPr="00255D29">
        <w:rPr>
          <w:szCs w:val="24"/>
          <w:lang w:eastAsia="fr-FR" w:bidi="fr-FR"/>
        </w:rPr>
        <w:tab/>
        <w:t xml:space="preserve">la démonstration d'une nette avancée en matière de </w:t>
      </w:r>
      <w:r w:rsidRPr="00255D29">
        <w:rPr>
          <w:b/>
          <w:i/>
          <w:color w:val="000000"/>
          <w:szCs w:val="24"/>
          <w:lang w:eastAsia="fr-FR" w:bidi="fr-FR"/>
        </w:rPr>
        <w:t>coopération</w:t>
      </w:r>
      <w:r w:rsidRPr="00255D29">
        <w:rPr>
          <w:szCs w:val="24"/>
          <w:lang w:eastAsia="fr-FR" w:bidi="fr-FR"/>
        </w:rPr>
        <w:t xml:space="preserve"> sur les plans scientifique, financier et de la gestion grâce à la mise en place d'objectifs et d'étapes en termes de performance opérationnelle minimale pour la mise en œuvre d'Eurostars-2.</w:t>
      </w:r>
    </w:p>
    <w:p w:rsidR="002022AB" w:rsidRPr="00255D29" w:rsidRDefault="002022AB" w:rsidP="00075179">
      <w:pPr>
        <w:autoSpaceDE w:val="0"/>
        <w:autoSpaceDN w:val="0"/>
        <w:adjustRightInd w:val="0"/>
        <w:spacing w:before="120" w:after="120" w:line="360" w:lineRule="auto"/>
        <w:jc w:val="center"/>
        <w:outlineLvl w:val="0"/>
        <w:rPr>
          <w:i/>
          <w:iCs/>
          <w:szCs w:val="24"/>
          <w:lang w:eastAsia="fr-FR" w:bidi="fr-FR"/>
        </w:rPr>
      </w:pPr>
      <w:r w:rsidRPr="00255D29">
        <w:rPr>
          <w:szCs w:val="24"/>
          <w:lang w:eastAsia="fr-FR" w:bidi="fr-FR"/>
        </w:rPr>
        <w:br w:type="page"/>
      </w:r>
      <w:r w:rsidRPr="00255D29">
        <w:rPr>
          <w:i/>
          <w:szCs w:val="24"/>
          <w:lang w:eastAsia="fr-FR" w:bidi="fr-FR"/>
        </w:rPr>
        <w:t xml:space="preserve">Article 7 </w:t>
      </w:r>
      <w:r w:rsidRPr="00255D29">
        <w:rPr>
          <w:i/>
          <w:iCs/>
          <w:szCs w:val="24"/>
          <w:lang w:eastAsia="fr-FR" w:bidi="fr-FR"/>
        </w:rPr>
        <w:br/>
      </w:r>
      <w:r w:rsidRPr="00255D29">
        <w:rPr>
          <w:i/>
          <w:szCs w:val="24"/>
          <w:lang w:eastAsia="fr-FR" w:bidi="fr-FR"/>
        </w:rPr>
        <w:t>Contribution des États participants</w:t>
      </w:r>
    </w:p>
    <w:p w:rsidR="002022AB" w:rsidRPr="00255D29" w:rsidRDefault="002022AB" w:rsidP="00075179">
      <w:pPr>
        <w:autoSpaceDE w:val="0"/>
        <w:autoSpaceDN w:val="0"/>
        <w:adjustRightInd w:val="0"/>
        <w:spacing w:before="120" w:after="120" w:line="360" w:lineRule="auto"/>
        <w:ind w:left="850" w:hanging="850"/>
        <w:outlineLvl w:val="0"/>
        <w:rPr>
          <w:szCs w:val="24"/>
          <w:lang w:eastAsia="fr-FR" w:bidi="fr-FR"/>
        </w:rPr>
      </w:pPr>
      <w:r w:rsidRPr="00255D29">
        <w:rPr>
          <w:szCs w:val="24"/>
          <w:lang w:eastAsia="fr-FR" w:bidi="fr-FR"/>
        </w:rPr>
        <w:t>1.</w:t>
      </w:r>
      <w:r w:rsidRPr="00255D29">
        <w:rPr>
          <w:szCs w:val="24"/>
          <w:lang w:eastAsia="fr-FR" w:bidi="fr-FR"/>
        </w:rPr>
        <w:tab/>
        <w:t>La contribution des États participants est composée des contributions financières suivantes:</w:t>
      </w:r>
    </w:p>
    <w:p w:rsidR="002022AB" w:rsidRPr="00255D29" w:rsidRDefault="002022AB" w:rsidP="00075179">
      <w:pPr>
        <w:autoSpaceDE w:val="0"/>
        <w:autoSpaceDN w:val="0"/>
        <w:adjustRightInd w:val="0"/>
        <w:spacing w:before="120" w:after="120" w:line="360" w:lineRule="auto"/>
        <w:ind w:left="1417" w:hanging="567"/>
        <w:rPr>
          <w:b/>
          <w:bCs/>
          <w:szCs w:val="24"/>
          <w:u w:val="single"/>
          <w:lang w:eastAsia="fr-FR" w:bidi="fr-FR"/>
        </w:rPr>
      </w:pPr>
      <w:r w:rsidRPr="00255D29">
        <w:rPr>
          <w:szCs w:val="24"/>
          <w:lang w:eastAsia="fr-FR" w:bidi="fr-FR"/>
        </w:rPr>
        <w:t>a)</w:t>
      </w:r>
      <w:r w:rsidRPr="00255D29">
        <w:rPr>
          <w:szCs w:val="24"/>
          <w:lang w:eastAsia="fr-FR" w:bidi="fr-FR"/>
        </w:rPr>
        <w:tab/>
        <w:t>le cofinancement des projets Eurostars-2 sélectionnés</w:t>
      </w:r>
      <w:r w:rsidRPr="00255D29">
        <w:rPr>
          <w:b/>
          <w:i/>
          <w:color w:val="000000"/>
          <w:szCs w:val="24"/>
          <w:lang w:eastAsia="fr-FR" w:bidi="fr-FR"/>
        </w:rPr>
        <w:t xml:space="preserve"> par des modes de financement nationaux appropriés</w:t>
      </w:r>
      <w:r w:rsidRPr="00255D29">
        <w:rPr>
          <w:szCs w:val="24"/>
          <w:lang w:eastAsia="fr-FR" w:bidi="fr-FR"/>
        </w:rPr>
        <w:t xml:space="preserve">, essentiellement par des subventions. </w:t>
      </w:r>
      <w:r w:rsidRPr="00255D29">
        <w:rPr>
          <w:b/>
          <w:i/>
          <w:color w:val="000000"/>
          <w:szCs w:val="24"/>
          <w:lang w:eastAsia="fr-FR" w:bidi="fr-FR"/>
        </w:rPr>
        <w:t>La Commission peut appliquer les règles établies en matière d'équivalent-subvention pour évaluer les contributions des États participants sous des formes autres que des subventions</w:t>
      </w:r>
      <w:r w:rsidRPr="00255D29">
        <w:rPr>
          <w:szCs w:val="24"/>
          <w:lang w:eastAsia="fr-FR" w:bidi="fr-FR"/>
        </w:rPr>
        <w:t>;</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la contribution financière aux frais administratifs d'Eurostars-2 non couverts par la contribution de l'Union énoncée à l'article 5, paragraphe 3.</w:t>
      </w:r>
    </w:p>
    <w:p w:rsidR="002022AB" w:rsidRPr="00255D29" w:rsidRDefault="002022AB" w:rsidP="00075179">
      <w:pPr>
        <w:autoSpaceDE w:val="0"/>
        <w:autoSpaceDN w:val="0"/>
        <w:adjustRightInd w:val="0"/>
        <w:spacing w:before="120" w:after="120" w:line="360" w:lineRule="auto"/>
        <w:ind w:left="850" w:hanging="850"/>
        <w:outlineLvl w:val="0"/>
        <w:rPr>
          <w:szCs w:val="24"/>
          <w:lang w:eastAsia="fr-FR" w:bidi="fr-FR"/>
        </w:rPr>
      </w:pPr>
      <w:r w:rsidRPr="00255D29">
        <w:rPr>
          <w:szCs w:val="24"/>
          <w:lang w:eastAsia="fr-FR" w:bidi="fr-FR"/>
        </w:rPr>
        <w:t>2.</w:t>
      </w:r>
      <w:r w:rsidRPr="00255D29">
        <w:rPr>
          <w:szCs w:val="24"/>
          <w:lang w:eastAsia="fr-FR" w:bidi="fr-FR"/>
        </w:rPr>
        <w:tab/>
        <w:t>Chaque État participant désigne un organe national de financement (ONF) pour administrer le soutien financier octroyé aux participants nationaux à Eurostars-2 conformément à l'article 8.</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szCs w:val="24"/>
          <w:lang w:eastAsia="fr-FR" w:bidi="fr-FR"/>
        </w:rPr>
        <w:br w:type="page"/>
      </w:r>
      <w:r w:rsidRPr="00255D29">
        <w:rPr>
          <w:i/>
          <w:szCs w:val="24"/>
          <w:lang w:eastAsia="fr-FR" w:bidi="fr-FR"/>
        </w:rPr>
        <w:t>Article 8</w:t>
      </w:r>
      <w:r w:rsidRPr="00255D29">
        <w:rPr>
          <w:i/>
          <w:iCs/>
          <w:szCs w:val="24"/>
          <w:lang w:eastAsia="fr-FR" w:bidi="fr-FR"/>
        </w:rPr>
        <w:br/>
      </w:r>
      <w:r w:rsidRPr="00255D29">
        <w:rPr>
          <w:i/>
          <w:szCs w:val="24"/>
          <w:lang w:eastAsia="fr-FR" w:bidi="fr-FR"/>
        </w:rPr>
        <w:t>Règles de participation et de diffusion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 xml:space="preserve">Aux fins du règlement (UE) n° </w:t>
      </w:r>
      <w:r w:rsidRPr="00255D29">
        <w:rPr>
          <w:b/>
          <w:i/>
          <w:color w:val="000000"/>
          <w:szCs w:val="24"/>
          <w:lang w:eastAsia="fr-FR" w:bidi="fr-FR"/>
        </w:rPr>
        <w:t>1290/2013</w:t>
      </w:r>
      <w:r w:rsidRPr="00255D29">
        <w:rPr>
          <w:szCs w:val="24"/>
          <w:lang w:eastAsia="fr-FR" w:bidi="fr-FR"/>
        </w:rPr>
        <w:t>, l'ESE est considéré comme un organe de financement.</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Par dérogation à l'article </w:t>
      </w:r>
      <w:r w:rsidRPr="00255D29">
        <w:rPr>
          <w:b/>
          <w:i/>
          <w:color w:val="000000"/>
          <w:szCs w:val="24"/>
          <w:lang w:eastAsia="fr-FR" w:bidi="fr-FR"/>
        </w:rPr>
        <w:t>15, paragraphe 9</w:t>
      </w:r>
      <w:r w:rsidRPr="00255D29">
        <w:rPr>
          <w:szCs w:val="24"/>
          <w:lang w:eastAsia="fr-FR" w:bidi="fr-FR"/>
        </w:rPr>
        <w:t xml:space="preserve">, du règlement (UE) n° </w:t>
      </w:r>
      <w:r w:rsidRPr="00255D29">
        <w:rPr>
          <w:b/>
          <w:bCs/>
          <w:i/>
          <w:iCs/>
          <w:szCs w:val="24"/>
          <w:lang w:eastAsia="fr-FR" w:bidi="fr-FR"/>
        </w:rPr>
        <w:t>1290/2013</w:t>
      </w:r>
      <w:r w:rsidRPr="00255D29">
        <w:rPr>
          <w:szCs w:val="24"/>
          <w:lang w:eastAsia="fr-FR" w:bidi="fr-FR"/>
        </w:rPr>
        <w:t xml:space="preserve">, </w:t>
      </w:r>
      <w:r w:rsidRPr="00255D29">
        <w:rPr>
          <w:b/>
          <w:i/>
          <w:color w:val="000000"/>
          <w:szCs w:val="24"/>
          <w:lang w:eastAsia="fr-FR" w:bidi="fr-FR"/>
        </w:rPr>
        <w:t>les ONF, sous la coordination de l'ESE</w:t>
      </w:r>
      <w:r w:rsidRPr="00255D29">
        <w:rPr>
          <w:szCs w:val="24"/>
          <w:lang w:eastAsia="fr-FR" w:bidi="fr-FR"/>
        </w:rPr>
        <w:t>, vérifient la capacité financière de tous les candidats au financement au titre d'Eurostars-2.</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3.</w:t>
      </w:r>
      <w:r w:rsidRPr="00255D29">
        <w:rPr>
          <w:szCs w:val="24"/>
          <w:lang w:eastAsia="fr-FR" w:bidi="fr-FR"/>
        </w:rPr>
        <w:tab/>
        <w:t xml:space="preserve">Par dérogation à l'article </w:t>
      </w:r>
      <w:r w:rsidRPr="00255D29">
        <w:rPr>
          <w:b/>
          <w:i/>
          <w:color w:val="000000"/>
          <w:szCs w:val="24"/>
          <w:lang w:eastAsia="fr-FR" w:bidi="fr-FR"/>
        </w:rPr>
        <w:t>18</w:t>
      </w:r>
      <w:r w:rsidRPr="00255D29">
        <w:rPr>
          <w:szCs w:val="24"/>
          <w:lang w:eastAsia="fr-FR" w:bidi="fr-FR"/>
        </w:rPr>
        <w:t>, paragraphe 2, du règlement (UE) n° </w:t>
      </w:r>
      <w:r w:rsidRPr="00255D29">
        <w:rPr>
          <w:b/>
          <w:i/>
          <w:color w:val="000000"/>
          <w:szCs w:val="24"/>
          <w:lang w:eastAsia="fr-FR" w:bidi="fr-FR"/>
        </w:rPr>
        <w:t>1290/2013</w:t>
      </w:r>
      <w:r w:rsidRPr="00255D29">
        <w:rPr>
          <w:szCs w:val="24"/>
          <w:lang w:eastAsia="fr-FR" w:bidi="fr-FR"/>
        </w:rPr>
        <w:t>, les conventions de subvention conclues avec les bénéficiaires des actions indirectes au titre d'Eurostars-2 sont signées par les ONF concernés.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4.</w:t>
      </w:r>
      <w:r w:rsidRPr="00255D29">
        <w:rPr>
          <w:szCs w:val="24"/>
          <w:lang w:eastAsia="fr-FR" w:bidi="fr-FR"/>
        </w:rPr>
        <w:tab/>
        <w:t xml:space="preserve">Par dérogation à l'article </w:t>
      </w:r>
      <w:r w:rsidRPr="00255D29">
        <w:rPr>
          <w:b/>
          <w:i/>
          <w:color w:val="000000"/>
          <w:szCs w:val="24"/>
          <w:lang w:eastAsia="fr-FR" w:bidi="fr-FR"/>
        </w:rPr>
        <w:t>23</w:t>
      </w:r>
      <w:r w:rsidRPr="00255D29">
        <w:rPr>
          <w:szCs w:val="24"/>
          <w:lang w:eastAsia="fr-FR" w:bidi="fr-FR"/>
        </w:rPr>
        <w:t xml:space="preserve">, paragraphes 1, 5, 6 et 7, et aux articles 28 </w:t>
      </w:r>
      <w:r w:rsidRPr="00255D29">
        <w:rPr>
          <w:b/>
          <w:i/>
          <w:color w:val="000000"/>
          <w:szCs w:val="24"/>
          <w:lang w:eastAsia="fr-FR" w:bidi="fr-FR"/>
        </w:rPr>
        <w:t>à 34</w:t>
      </w:r>
      <w:r w:rsidRPr="00255D29">
        <w:rPr>
          <w:szCs w:val="24"/>
          <w:lang w:eastAsia="fr-FR" w:bidi="fr-FR"/>
        </w:rPr>
        <w:t xml:space="preserve"> du règlement (UE) n° </w:t>
      </w:r>
      <w:r w:rsidRPr="00255D29">
        <w:rPr>
          <w:b/>
          <w:i/>
          <w:color w:val="000000"/>
          <w:szCs w:val="24"/>
          <w:lang w:eastAsia="fr-FR" w:bidi="fr-FR"/>
        </w:rPr>
        <w:t>1290/2013</w:t>
      </w:r>
      <w:r w:rsidRPr="00255D29">
        <w:rPr>
          <w:szCs w:val="24"/>
          <w:lang w:eastAsia="fr-FR" w:bidi="fr-FR"/>
        </w:rPr>
        <w:t>, les règles de financement des programmes nationaux participants s'appliquent aux subventions d'Eurostars-2 administrées par les ONF.</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szCs w:val="24"/>
          <w:lang w:eastAsia="fr-FR" w:bidi="fr-FR"/>
        </w:rPr>
        <w:br w:type="page"/>
      </w:r>
      <w:r w:rsidRPr="00255D29">
        <w:rPr>
          <w:i/>
          <w:szCs w:val="24"/>
          <w:lang w:eastAsia="fr-FR" w:bidi="fr-FR"/>
        </w:rPr>
        <w:t xml:space="preserve">Article 9 </w:t>
      </w:r>
      <w:r w:rsidRPr="00255D29">
        <w:rPr>
          <w:i/>
          <w:iCs/>
          <w:szCs w:val="24"/>
          <w:lang w:eastAsia="fr-FR" w:bidi="fr-FR"/>
        </w:rPr>
        <w:br/>
      </w:r>
      <w:r w:rsidRPr="00255D29">
        <w:rPr>
          <w:i/>
          <w:szCs w:val="24"/>
          <w:lang w:eastAsia="fr-FR" w:bidi="fr-FR"/>
        </w:rPr>
        <w:t xml:space="preserve">Mise en œuvre d'Eurostars-2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 xml:space="preserve">Eurostars-2 est mis en œuvre sur la base de programmes de travail annuels.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Eurostars-2 apporte un soutien financier, essentiellement sous la forme de subventions, aux participants à la suite d'appels à propositions.</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i/>
          <w:szCs w:val="24"/>
          <w:lang w:eastAsia="fr-FR" w:bidi="fr-FR"/>
        </w:rPr>
        <w:t>Article 10</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i/>
          <w:szCs w:val="24"/>
          <w:lang w:eastAsia="fr-FR" w:bidi="fr-FR"/>
        </w:rPr>
        <w:t>Accords et conventions entre l'Union et l'ESE</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Sous réserve d'une évaluation ex ante positive de l'ESE conformément à l'article 61, paragraphe 1, du règlement (UE, Euratom) n° 966/2012, la Commission conclut, au nom de l'Union, une convention de délégation et des accords annuels de transfert de fonds avec l'ESE.</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La convention de délégation visée au paragraphe 1 est conclue conformément à l'article 58, paragraphe 3, et aux articles 60 et 61 du règlement (UE, Euratom) n° 966/2012, ainsi qu'à l'article 40 du règlement délégué (UE) n° 1268/2012. Elle énonce également: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a)</w:t>
      </w:r>
      <w:r w:rsidRPr="00255D29">
        <w:rPr>
          <w:szCs w:val="24"/>
          <w:lang w:eastAsia="fr-FR" w:bidi="fr-FR"/>
        </w:rPr>
        <w:tab/>
        <w:t xml:space="preserve">les exigences applicables à l'ESE en ce qui concerne les indicateurs de performance énoncés à l'annexe II de la décision </w:t>
      </w:r>
      <w:r w:rsidRPr="00255D29">
        <w:rPr>
          <w:b/>
          <w:i/>
          <w:szCs w:val="24"/>
          <w:lang w:eastAsia="fr-FR" w:bidi="fr-FR"/>
        </w:rPr>
        <w:t>2013/743/UE</w:t>
      </w:r>
      <w:r w:rsidRPr="00255D29">
        <w:rPr>
          <w:szCs w:val="24"/>
          <w:lang w:eastAsia="fr-FR" w:bidi="fr-FR"/>
        </w:rPr>
        <w:t xml:space="preserve">;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 xml:space="preserve">les exigences applicables à la contribution de l'ESE au suivi visé à l'annexe III de la décision </w:t>
      </w:r>
      <w:r w:rsidRPr="00255D29">
        <w:rPr>
          <w:b/>
          <w:i/>
          <w:szCs w:val="24"/>
          <w:lang w:eastAsia="fr-FR" w:bidi="fr-FR"/>
        </w:rPr>
        <w:t>2013/743/UE</w:t>
      </w:r>
      <w:r w:rsidRPr="00255D29">
        <w:rPr>
          <w:szCs w:val="24"/>
          <w:lang w:eastAsia="fr-FR" w:bidi="fr-FR"/>
        </w:rPr>
        <w:t xml:space="preserve">;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c)</w:t>
      </w:r>
      <w:r w:rsidRPr="00255D29">
        <w:rPr>
          <w:szCs w:val="24"/>
          <w:lang w:eastAsia="fr-FR" w:bidi="fr-FR"/>
        </w:rPr>
        <w:tab/>
        <w:t xml:space="preserve">les indicateurs de performance spécifiques pour le fonctionnement de l'ESE en ce qui concerne Eurostars-2;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d)</w:t>
      </w:r>
      <w:r w:rsidRPr="00255D29">
        <w:rPr>
          <w:szCs w:val="24"/>
          <w:lang w:eastAsia="fr-FR" w:bidi="fr-FR"/>
        </w:rPr>
        <w:tab/>
        <w:t>les exigences applicables à l'ESE en matière de communication d'informations sur les coûts administratifs et de chiffres détaillés concernant la mise en œuvre d'Eurostars-2;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br w:type="page"/>
        <w:t>e)</w:t>
      </w:r>
      <w:r w:rsidRPr="00255D29">
        <w:rPr>
          <w:szCs w:val="24"/>
          <w:lang w:eastAsia="fr-FR" w:bidi="fr-FR"/>
        </w:rPr>
        <w:tab/>
        <w:t>les modalités relatives à la communication des données nécessaires pour que la Commission soit en mesure de s'acquitter de ses obligations en matière de diffusion d'informations et d'établissement de rapports;</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f)</w:t>
      </w:r>
      <w:r w:rsidRPr="00255D29">
        <w:rPr>
          <w:szCs w:val="24"/>
          <w:lang w:eastAsia="fr-FR" w:bidi="fr-FR"/>
        </w:rPr>
        <w:tab/>
        <w:t xml:space="preserve">l'obligation pour l'ESE de signer des accords bilatéraux avec les ONF avant que tout transfert de la contribution financière de l'Union n'ait lieu, lesdits accords bilatéraux fixant les objectifs et les étapes en termes de performance opérationnelle minimale pour la mise en œuvre d'Eurostars-2; </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b/>
          <w:i/>
          <w:color w:val="000000"/>
          <w:szCs w:val="24"/>
          <w:lang w:eastAsia="fr-FR" w:bidi="fr-FR"/>
        </w:rPr>
        <w:t>g)</w:t>
      </w:r>
      <w:r w:rsidRPr="00255D29">
        <w:rPr>
          <w:szCs w:val="24"/>
          <w:lang w:eastAsia="fr-FR" w:bidi="fr-FR"/>
        </w:rPr>
        <w:tab/>
      </w:r>
      <w:r w:rsidRPr="00255D29">
        <w:rPr>
          <w:b/>
          <w:i/>
          <w:color w:val="000000"/>
          <w:szCs w:val="24"/>
          <w:lang w:eastAsia="fr-FR" w:bidi="fr-FR"/>
        </w:rPr>
        <w:t>des dispositions relatives à la publication des appels à propositions lancés par Eurostars-2, en particulier sur le portail unique des participants ainsi que par d'autres moyens de diffusion électroniques dans le cadre d'Horizon 2020 gérés par la Commission.</w:t>
      </w:r>
    </w:p>
    <w:p w:rsidR="002022AB" w:rsidRPr="00255D29" w:rsidRDefault="002022AB" w:rsidP="00075179">
      <w:pPr>
        <w:autoSpaceDE w:val="0"/>
        <w:autoSpaceDN w:val="0"/>
        <w:adjustRightInd w:val="0"/>
        <w:spacing w:before="240" w:after="120" w:line="360" w:lineRule="auto"/>
        <w:jc w:val="center"/>
        <w:rPr>
          <w:i/>
          <w:iCs/>
          <w:szCs w:val="24"/>
          <w:lang w:eastAsia="fr-FR" w:bidi="fr-FR"/>
        </w:rPr>
      </w:pPr>
      <w:r w:rsidRPr="00255D29">
        <w:rPr>
          <w:i/>
          <w:szCs w:val="24"/>
          <w:lang w:eastAsia="fr-FR" w:bidi="fr-FR"/>
        </w:rPr>
        <w:t>Article 11</w:t>
      </w:r>
      <w:r w:rsidRPr="00255D29">
        <w:rPr>
          <w:i/>
          <w:iCs/>
          <w:szCs w:val="24"/>
          <w:lang w:eastAsia="fr-FR" w:bidi="fr-FR"/>
        </w:rPr>
        <w:br/>
      </w:r>
      <w:r w:rsidRPr="00255D29">
        <w:rPr>
          <w:i/>
          <w:szCs w:val="24"/>
          <w:lang w:eastAsia="fr-FR" w:bidi="fr-FR"/>
        </w:rPr>
        <w:t xml:space="preserve">Cessation, réduction ou suspension de la contribution financière de l'Union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Si Eurostars-2 n'est pas mis en œuvre ou s'il est mis en œuvre de manière inadéquate, partielle ou tardive, la Commission peut mettre fin à la contribution financière de l'Union, la réduire proportionnellement ou la suspendre, en fonction de la mise en œuvre effective d'Eurostars-2.</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Si les États participants ne contribuent pas ou contribuent de manière partielle ou tardive au financement d'Eurostars-2, la Commission peut mettre fin à la contribution financière de l'Union, la réduire proportionnellement ou la suspendre, en tenant compte du montant des fonds alloués par les États participants à la mise en œuvre d'Eurostars-2. </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szCs w:val="24"/>
          <w:lang w:eastAsia="fr-FR" w:bidi="fr-FR"/>
        </w:rPr>
        <w:br w:type="page"/>
      </w:r>
      <w:r w:rsidRPr="00255D29">
        <w:rPr>
          <w:i/>
          <w:szCs w:val="24"/>
          <w:lang w:eastAsia="fr-FR" w:bidi="fr-FR"/>
        </w:rPr>
        <w:t>Article 12</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i/>
          <w:szCs w:val="24"/>
          <w:lang w:eastAsia="fr-FR" w:bidi="fr-FR"/>
        </w:rPr>
        <w:t xml:space="preserve">Audits ex post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 xml:space="preserve">L'ESE veille à ce que les audits ex post des dépenses liées aux actions indirectes soient effectués par les ONF compétents conformément à l'article </w:t>
      </w:r>
      <w:r w:rsidRPr="00255D29">
        <w:rPr>
          <w:b/>
          <w:i/>
          <w:color w:val="000000"/>
          <w:szCs w:val="24"/>
          <w:lang w:eastAsia="fr-FR" w:bidi="fr-FR"/>
        </w:rPr>
        <w:t>29</w:t>
      </w:r>
      <w:r w:rsidRPr="00255D29">
        <w:rPr>
          <w:szCs w:val="24"/>
          <w:lang w:eastAsia="fr-FR" w:bidi="fr-FR"/>
        </w:rPr>
        <w:t xml:space="preserve"> du règlement (UE) n° </w:t>
      </w:r>
      <w:r w:rsidRPr="00255D29">
        <w:rPr>
          <w:b/>
          <w:i/>
          <w:color w:val="000000"/>
          <w:szCs w:val="24"/>
          <w:lang w:eastAsia="fr-FR" w:bidi="fr-FR"/>
        </w:rPr>
        <w:t>1291/2013.</w:t>
      </w:r>
      <w:r w:rsidRPr="00255D29">
        <w:rPr>
          <w:szCs w:val="24"/>
          <w:lang w:eastAsia="fr-FR" w:bidi="fr-FR"/>
        </w:rPr>
        <w:t xml:space="preserve">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La Commission peut décider d'effectuer elle-même les audits visés au paragraphe 1. </w:t>
      </w:r>
      <w:r w:rsidRPr="00255D29">
        <w:rPr>
          <w:b/>
          <w:i/>
          <w:color w:val="000000"/>
          <w:szCs w:val="24"/>
          <w:lang w:eastAsia="fr-FR" w:bidi="fr-FR"/>
        </w:rPr>
        <w:t>Dans ce cas, elle agit conformément aux règles applicables, en particulier les dispositions des règlements (UE, Euratom) n° 966/2012, (UE) n° 1290/2013 et (UE) n° 1291/2013.</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i/>
          <w:szCs w:val="24"/>
          <w:lang w:eastAsia="fr-FR" w:bidi="fr-FR"/>
        </w:rPr>
        <w:t>Article 13</w:t>
      </w:r>
      <w:r w:rsidRPr="00255D29">
        <w:rPr>
          <w:i/>
          <w:iCs/>
          <w:szCs w:val="24"/>
          <w:lang w:eastAsia="fr-FR" w:bidi="fr-FR"/>
        </w:rPr>
        <w:br/>
      </w:r>
      <w:r w:rsidRPr="00255D29">
        <w:rPr>
          <w:i/>
          <w:szCs w:val="24"/>
          <w:lang w:eastAsia="fr-FR" w:bidi="fr-FR"/>
        </w:rPr>
        <w:t>Protection des intérêts financiers de l'Union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La Commission prend les mesures appropriées pour garantir la protection des intérêts financiers de l'Union lors de la mise en œuvre d'actions financées au titre de la présente décision,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efficaces, proportionnées et dissuasives.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L'ESE accorde au personnel de la Commission et aux autres personnes autorisées par celle-ci, ainsi qu'à la Cour des comptes, le droit d'accès à ses sites et locaux, ainsi qu'à toutes les informations, y compris sous forme électronique, nécessaires pour mener à bien leurs audits.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br w:type="page"/>
        <w:t>3.</w:t>
      </w:r>
      <w:r w:rsidRPr="00255D29">
        <w:rPr>
          <w:szCs w:val="24"/>
          <w:lang w:eastAsia="fr-FR" w:bidi="fr-FR"/>
        </w:rPr>
        <w:tab/>
        <w:t xml:space="preserve">L'Office européen de lutte antifraude (OLAF) peut effectuer des enquêtes, y compris des contrôles et vérifications sur place, conformément aux dispositions et procédures prévues par le règlement (Euratom, CE) n° 2185/96 du Conseil </w:t>
      </w:r>
      <w:r w:rsidRPr="00255D29">
        <w:rPr>
          <w:b/>
          <w:szCs w:val="24"/>
          <w:vertAlign w:val="superscript"/>
          <w:lang w:eastAsia="fr-FR" w:bidi="fr-FR"/>
        </w:rPr>
        <w:footnoteReference w:id="34"/>
      </w:r>
      <w:r w:rsidRPr="00255D29">
        <w:rPr>
          <w:szCs w:val="24"/>
          <w:lang w:eastAsia="fr-FR" w:bidi="fr-FR"/>
        </w:rPr>
        <w:t xml:space="preserve"> et par le règlement (</w:t>
      </w:r>
      <w:r w:rsidRPr="00255D29">
        <w:rPr>
          <w:b/>
          <w:bCs/>
          <w:i/>
          <w:iCs/>
          <w:szCs w:val="24"/>
          <w:lang w:eastAsia="fr-FR" w:bidi="fr-FR"/>
        </w:rPr>
        <w:t>UE, Euratom</w:t>
      </w:r>
      <w:r w:rsidRPr="00255D29">
        <w:rPr>
          <w:szCs w:val="24"/>
          <w:lang w:eastAsia="fr-FR" w:bidi="fr-FR"/>
        </w:rPr>
        <w:t>) n° </w:t>
      </w:r>
      <w:r w:rsidRPr="00255D29">
        <w:rPr>
          <w:b/>
          <w:bCs/>
          <w:i/>
          <w:iCs/>
          <w:szCs w:val="24"/>
          <w:lang w:eastAsia="fr-FR" w:bidi="fr-FR"/>
        </w:rPr>
        <w:t>883/2013</w:t>
      </w:r>
      <w:r w:rsidRPr="00255D29">
        <w:rPr>
          <w:szCs w:val="24"/>
          <w:lang w:eastAsia="fr-FR" w:bidi="fr-FR"/>
        </w:rPr>
        <w:t xml:space="preserve"> du Parlement européen et du Conseil</w:t>
      </w:r>
      <w:r w:rsidRPr="00255D29">
        <w:rPr>
          <w:b/>
          <w:szCs w:val="24"/>
          <w:vertAlign w:val="superscript"/>
          <w:lang w:eastAsia="fr-FR" w:bidi="fr-FR"/>
        </w:rPr>
        <w:footnoteReference w:id="35"/>
      </w:r>
      <w:r w:rsidRPr="00255D29">
        <w:rPr>
          <w:szCs w:val="24"/>
          <w:lang w:eastAsia="fr-FR" w:bidi="fr-FR"/>
        </w:rPr>
        <w:t>, en vue d'établir l'existence éventuelle d'une fraude, d'un acte de corruption ou de toute autre activité illégale portant atteinte aux intérêts financiers de l'Union dans le cadre d'une convention de subvention ou d'une décision de subvention ou d'un contrat financé conformément à la présente décision.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4.</w:t>
      </w:r>
      <w:r w:rsidRPr="00255D29">
        <w:rPr>
          <w:szCs w:val="24"/>
          <w:lang w:eastAsia="fr-FR" w:bidi="fr-FR"/>
        </w:rPr>
        <w:tab/>
        <w:t>Les contrats, conventions de subvention et décisions de subvention résultant de la mise en œuvre de la présente décision contiennent des dispositions habilitant expressément la Commission, la Cour des comptes, l'OLAF et l'ESE à procéder à ces audits et enquêtes, conformément à leurs compétences respectives.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5.</w:t>
      </w:r>
      <w:r w:rsidRPr="00255D29">
        <w:rPr>
          <w:szCs w:val="24"/>
          <w:lang w:eastAsia="fr-FR" w:bidi="fr-FR"/>
        </w:rPr>
        <w:tab/>
        <w:t>Lors de la mise en œuvre d'Eurostars-2, les États participants prennent les mesures législatives, réglementaires, administratives ou autres qui sont nécessaires à la protection des intérêts financiers de l'Union, en particulier pour garantir le recouvrement intégral des sommes éventuellement dues à l'Union conformément au règlement (UE, Euratom) n° 966/2012 et au règlement délégué (UE) n° 1268/2012.</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szCs w:val="24"/>
          <w:lang w:eastAsia="fr-FR" w:bidi="fr-FR"/>
        </w:rPr>
        <w:br w:type="page"/>
      </w:r>
      <w:r w:rsidRPr="00255D29">
        <w:rPr>
          <w:i/>
          <w:szCs w:val="24"/>
          <w:lang w:eastAsia="fr-FR" w:bidi="fr-FR"/>
        </w:rPr>
        <w:t>Article 14</w:t>
      </w:r>
      <w:r w:rsidRPr="00255D29">
        <w:rPr>
          <w:i/>
          <w:iCs/>
          <w:szCs w:val="24"/>
          <w:lang w:eastAsia="fr-FR" w:bidi="fr-FR"/>
        </w:rPr>
        <w:br/>
      </w:r>
      <w:r w:rsidRPr="00255D29">
        <w:rPr>
          <w:i/>
          <w:szCs w:val="24"/>
          <w:lang w:eastAsia="fr-FR" w:bidi="fr-FR"/>
        </w:rPr>
        <w:t>Communication des informations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À la demande de la Commission, l'ESE transmet toute information nécessaire à l'élaboration des rapports visés à l'article 15.</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Les États participants transmettent à la Commission, par l'intermédiaire de l'ESE, toute information demandée par le Parlement européen, le Conseil ou la Cour des comptes concernant la gestion financière d'Eurostars-2.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3.</w:t>
      </w:r>
      <w:r w:rsidRPr="00255D29">
        <w:rPr>
          <w:szCs w:val="24"/>
          <w:lang w:eastAsia="fr-FR" w:bidi="fr-FR"/>
        </w:rPr>
        <w:tab/>
        <w:t>La Commission inclut les informations visées au paragraphe 2 du présent article dans les rapports visés à l'article 15.</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i/>
          <w:szCs w:val="24"/>
          <w:lang w:eastAsia="fr-FR" w:bidi="fr-FR"/>
        </w:rPr>
        <w:t>Article 15</w:t>
      </w:r>
      <w:r w:rsidRPr="00255D29">
        <w:rPr>
          <w:i/>
          <w:iCs/>
          <w:szCs w:val="24"/>
          <w:lang w:eastAsia="fr-FR" w:bidi="fr-FR"/>
        </w:rPr>
        <w:br/>
      </w:r>
      <w:r w:rsidRPr="00255D29">
        <w:rPr>
          <w:i/>
          <w:szCs w:val="24"/>
          <w:lang w:eastAsia="fr-FR" w:bidi="fr-FR"/>
        </w:rPr>
        <w:t>Évaluation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Au plus tard le 30 juin 2017, la Commission procède à une évaluation intermédiaire d'Eurostars-2</w:t>
      </w:r>
      <w:r w:rsidRPr="00255D29">
        <w:rPr>
          <w:b/>
          <w:i/>
          <w:szCs w:val="24"/>
          <w:lang w:eastAsia="fr-FR" w:bidi="fr-FR"/>
        </w:rPr>
        <w:t>, en coopération étroite avec les États participants et avec l'assistance d'experts indépendants</w:t>
      </w:r>
      <w:r w:rsidRPr="00255D29">
        <w:rPr>
          <w:szCs w:val="24"/>
          <w:lang w:eastAsia="fr-FR" w:bidi="fr-FR"/>
        </w:rPr>
        <w:t xml:space="preserve">. Elle établit un rapport d'évaluation contenant les conclusions </w:t>
      </w:r>
      <w:r w:rsidRPr="00255D29">
        <w:rPr>
          <w:b/>
          <w:i/>
          <w:color w:val="000000"/>
          <w:szCs w:val="24"/>
          <w:lang w:eastAsia="fr-FR" w:bidi="fr-FR"/>
        </w:rPr>
        <w:t>de cette évaluation</w:t>
      </w:r>
      <w:r w:rsidRPr="00255D29">
        <w:rPr>
          <w:szCs w:val="24"/>
          <w:lang w:eastAsia="fr-FR" w:bidi="fr-FR"/>
        </w:rPr>
        <w:t xml:space="preserve"> ainsi que ses observations. Elle transmet ce rapport au Parlement européen et au Conseil au plus tard le </w:t>
      </w:r>
      <w:r w:rsidRPr="00255D29">
        <w:rPr>
          <w:b/>
          <w:i/>
          <w:color w:val="000000"/>
          <w:szCs w:val="24"/>
          <w:lang w:eastAsia="fr-FR" w:bidi="fr-FR"/>
        </w:rPr>
        <w:t>31 décembre 2017. Il est tenu compte des résultats de l'évaluation intermédiaire d'Eurostars-2 dans l'évaluation intermédiaire d'Horizon 2020.</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Au terme de la participation de l'Union à Eurostars-2, mais au plus tard le 31 décembre 2022, la Commission procède à une évaluation finale d'Eurostars-2. Elle établit un rapport d'évaluation, qui doit contenir les résultats de cette évaluation. La Commission transmet ce rapport au Parlement européen et au Conseil.</w:t>
      </w:r>
    </w:p>
    <w:p w:rsidR="002022AB" w:rsidRPr="00255D29" w:rsidRDefault="002022AB" w:rsidP="00075179">
      <w:pPr>
        <w:autoSpaceDE w:val="0"/>
        <w:autoSpaceDN w:val="0"/>
        <w:adjustRightInd w:val="0"/>
        <w:spacing w:before="120" w:after="120" w:line="360" w:lineRule="auto"/>
        <w:jc w:val="center"/>
        <w:rPr>
          <w:i/>
          <w:iCs/>
          <w:szCs w:val="24"/>
          <w:lang w:eastAsia="fr-FR" w:bidi="fr-FR"/>
        </w:rPr>
      </w:pPr>
      <w:r w:rsidRPr="00255D29">
        <w:rPr>
          <w:szCs w:val="24"/>
          <w:lang w:eastAsia="fr-FR" w:bidi="fr-FR"/>
        </w:rPr>
        <w:br w:type="page"/>
      </w:r>
      <w:r w:rsidRPr="00255D29">
        <w:rPr>
          <w:i/>
          <w:szCs w:val="24"/>
          <w:lang w:eastAsia="fr-FR" w:bidi="fr-FR"/>
        </w:rPr>
        <w:t>Article 16</w:t>
      </w:r>
      <w:r w:rsidRPr="00255D29">
        <w:rPr>
          <w:i/>
          <w:iCs/>
          <w:szCs w:val="24"/>
          <w:lang w:eastAsia="fr-FR" w:bidi="fr-FR"/>
        </w:rPr>
        <w:br/>
      </w:r>
      <w:r w:rsidRPr="00255D29">
        <w:rPr>
          <w:i/>
          <w:szCs w:val="24"/>
          <w:lang w:eastAsia="fr-FR" w:bidi="fr-FR"/>
        </w:rPr>
        <w:t>Entrée en vigueur</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 xml:space="preserve">La présente décision entre en vigueur le vingtième jour suivant celui de sa publication au </w:t>
      </w:r>
      <w:r w:rsidRPr="00255D29">
        <w:rPr>
          <w:i/>
          <w:iCs/>
          <w:szCs w:val="24"/>
          <w:lang w:eastAsia="fr-FR" w:bidi="fr-FR"/>
        </w:rPr>
        <w:t>Journal officiel de l'Union européenne</w:t>
      </w:r>
      <w:r w:rsidRPr="00255D29">
        <w:rPr>
          <w:szCs w:val="24"/>
          <w:lang w:eastAsia="fr-FR" w:bidi="fr-FR"/>
        </w:rPr>
        <w:t xml:space="preserve">. </w:t>
      </w:r>
    </w:p>
    <w:p w:rsidR="002022AB" w:rsidRPr="00255D29" w:rsidRDefault="002022AB" w:rsidP="00075179">
      <w:pPr>
        <w:autoSpaceDE w:val="0"/>
        <w:autoSpaceDN w:val="0"/>
        <w:adjustRightInd w:val="0"/>
        <w:spacing w:before="240" w:after="120" w:line="360" w:lineRule="auto"/>
        <w:jc w:val="center"/>
        <w:rPr>
          <w:i/>
          <w:iCs/>
          <w:szCs w:val="24"/>
          <w:lang w:eastAsia="fr-FR" w:bidi="fr-FR"/>
        </w:rPr>
      </w:pPr>
      <w:r w:rsidRPr="00255D29">
        <w:rPr>
          <w:i/>
          <w:szCs w:val="24"/>
          <w:lang w:eastAsia="fr-FR" w:bidi="fr-FR"/>
        </w:rPr>
        <w:t>Article 17</w:t>
      </w:r>
      <w:r w:rsidRPr="00255D29">
        <w:rPr>
          <w:i/>
          <w:iCs/>
          <w:szCs w:val="24"/>
          <w:lang w:eastAsia="fr-FR" w:bidi="fr-FR"/>
        </w:rPr>
        <w:br/>
      </w:r>
      <w:r w:rsidRPr="00255D29">
        <w:rPr>
          <w:i/>
          <w:szCs w:val="24"/>
          <w:lang w:eastAsia="fr-FR" w:bidi="fr-FR"/>
        </w:rPr>
        <w:t>Destinataires</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Les États membres sont destinataires de la présente décision.</w:t>
      </w:r>
    </w:p>
    <w:p w:rsidR="002022AB" w:rsidRPr="00255D29" w:rsidRDefault="002022AB" w:rsidP="00075179">
      <w:pPr>
        <w:autoSpaceDE w:val="0"/>
        <w:autoSpaceDN w:val="0"/>
        <w:adjustRightInd w:val="0"/>
        <w:spacing w:before="120" w:after="120" w:line="360" w:lineRule="auto"/>
        <w:rPr>
          <w:szCs w:val="24"/>
          <w:lang w:eastAsia="fr-FR" w:bidi="fr-FR"/>
        </w:rPr>
      </w:pPr>
      <w:r w:rsidRPr="00255D29">
        <w:rPr>
          <w:szCs w:val="24"/>
          <w:lang w:eastAsia="fr-FR" w:bidi="fr-FR"/>
        </w:rPr>
        <w:t xml:space="preserve">Fait à </w:t>
      </w:r>
    </w:p>
    <w:p w:rsidR="002022AB" w:rsidRPr="00255D29" w:rsidRDefault="002022AB" w:rsidP="00075179">
      <w:pPr>
        <w:tabs>
          <w:tab w:val="left" w:pos="4252"/>
        </w:tabs>
        <w:autoSpaceDE w:val="0"/>
        <w:autoSpaceDN w:val="0"/>
        <w:adjustRightInd w:val="0"/>
        <w:spacing w:before="120" w:after="120" w:line="360" w:lineRule="auto"/>
        <w:rPr>
          <w:i/>
          <w:iCs/>
          <w:szCs w:val="24"/>
          <w:lang w:eastAsia="fr-FR" w:bidi="fr-FR"/>
        </w:rPr>
      </w:pPr>
      <w:r w:rsidRPr="00255D29">
        <w:rPr>
          <w:i/>
          <w:szCs w:val="24"/>
          <w:lang w:eastAsia="fr-FR" w:bidi="fr-FR"/>
        </w:rPr>
        <w:t>Par le Parlement européen</w:t>
      </w:r>
      <w:r w:rsidRPr="00255D29">
        <w:rPr>
          <w:szCs w:val="24"/>
          <w:lang w:eastAsia="fr-FR" w:bidi="fr-FR"/>
        </w:rPr>
        <w:tab/>
      </w:r>
      <w:r w:rsidRPr="00255D29">
        <w:rPr>
          <w:i/>
          <w:szCs w:val="24"/>
          <w:lang w:eastAsia="fr-FR" w:bidi="fr-FR"/>
        </w:rPr>
        <w:t>Par le Conseil</w:t>
      </w:r>
    </w:p>
    <w:p w:rsidR="002022AB" w:rsidRPr="00255D29" w:rsidRDefault="002022AB" w:rsidP="00075179">
      <w:pPr>
        <w:tabs>
          <w:tab w:val="left" w:pos="4252"/>
        </w:tabs>
        <w:autoSpaceDE w:val="0"/>
        <w:autoSpaceDN w:val="0"/>
        <w:adjustRightInd w:val="0"/>
        <w:spacing w:before="120" w:after="120" w:line="360" w:lineRule="auto"/>
        <w:rPr>
          <w:i/>
          <w:iCs/>
          <w:szCs w:val="24"/>
          <w:lang w:eastAsia="fr-FR" w:bidi="fr-FR"/>
        </w:rPr>
      </w:pPr>
      <w:r w:rsidRPr="00255D29">
        <w:rPr>
          <w:i/>
          <w:szCs w:val="24"/>
          <w:lang w:eastAsia="fr-FR" w:bidi="fr-FR"/>
        </w:rPr>
        <w:t>Le président</w:t>
      </w:r>
      <w:r w:rsidRPr="00255D29">
        <w:rPr>
          <w:szCs w:val="24"/>
          <w:lang w:eastAsia="fr-FR" w:bidi="fr-FR"/>
        </w:rPr>
        <w:tab/>
      </w:r>
      <w:r w:rsidRPr="00255D29">
        <w:rPr>
          <w:i/>
          <w:szCs w:val="24"/>
          <w:lang w:eastAsia="fr-FR" w:bidi="fr-FR"/>
        </w:rPr>
        <w:t>Le président</w:t>
      </w:r>
    </w:p>
    <w:p w:rsidR="002022AB" w:rsidRPr="00255D29" w:rsidRDefault="002022AB" w:rsidP="00075179">
      <w:pPr>
        <w:pBdr>
          <w:bottom w:val="single" w:sz="4" w:space="0" w:color="000000"/>
        </w:pBdr>
        <w:autoSpaceDE w:val="0"/>
        <w:autoSpaceDN w:val="0"/>
        <w:adjustRightInd w:val="0"/>
        <w:spacing w:before="120" w:after="120" w:line="360" w:lineRule="auto"/>
        <w:ind w:left="3400" w:right="3400"/>
        <w:jc w:val="center"/>
        <w:rPr>
          <w:b/>
          <w:bCs/>
          <w:szCs w:val="24"/>
          <w:lang w:eastAsia="fr-FR" w:bidi="fr-FR"/>
        </w:rPr>
      </w:pPr>
    </w:p>
    <w:p w:rsidR="002022AB" w:rsidRPr="00255D29" w:rsidRDefault="002022AB" w:rsidP="00075179">
      <w:pPr>
        <w:autoSpaceDE w:val="0"/>
        <w:autoSpaceDN w:val="0"/>
        <w:adjustRightInd w:val="0"/>
        <w:spacing w:before="120" w:after="120" w:line="360" w:lineRule="auto"/>
        <w:jc w:val="right"/>
        <w:rPr>
          <w:b/>
          <w:bCs/>
          <w:szCs w:val="24"/>
          <w:lang w:eastAsia="fr-FR" w:bidi="fr-FR"/>
        </w:rPr>
        <w:sectPr w:rsidR="002022AB" w:rsidRPr="00255D29" w:rsidSect="002022AB">
          <w:headerReference w:type="even" r:id="rId22"/>
          <w:headerReference w:type="default" r:id="rId23"/>
          <w:footerReference w:type="even" r:id="rId24"/>
          <w:footerReference w:type="default" r:id="rId25"/>
          <w:footnotePr>
            <w:numRestart w:val="eachPage"/>
          </w:footnotePr>
          <w:pgSz w:w="11907" w:h="16840" w:code="9"/>
          <w:pgMar w:top="1134" w:right="1247" w:bottom="1814" w:left="1418" w:header="720" w:footer="0" w:gutter="0"/>
          <w:cols w:space="720"/>
        </w:sectPr>
      </w:pPr>
    </w:p>
    <w:p w:rsidR="002022AB" w:rsidRPr="00255D29" w:rsidRDefault="002022AB" w:rsidP="00075179">
      <w:pPr>
        <w:autoSpaceDE w:val="0"/>
        <w:autoSpaceDN w:val="0"/>
        <w:adjustRightInd w:val="0"/>
        <w:spacing w:before="120" w:after="120" w:line="360" w:lineRule="auto"/>
        <w:jc w:val="center"/>
        <w:rPr>
          <w:b/>
          <w:bCs/>
          <w:szCs w:val="24"/>
          <w:u w:val="single"/>
          <w:lang w:eastAsia="fr-FR" w:bidi="fr-FR"/>
        </w:rPr>
      </w:pPr>
      <w:r w:rsidRPr="00255D29">
        <w:rPr>
          <w:b/>
          <w:szCs w:val="24"/>
          <w:u w:val="single"/>
          <w:lang w:eastAsia="fr-FR" w:bidi="fr-FR"/>
        </w:rPr>
        <w:t>ANNEXE I</w:t>
      </w:r>
    </w:p>
    <w:p w:rsidR="002022AB" w:rsidRPr="00255D29" w:rsidRDefault="002022AB" w:rsidP="00075179">
      <w:pPr>
        <w:autoSpaceDE w:val="0"/>
        <w:autoSpaceDN w:val="0"/>
        <w:adjustRightInd w:val="0"/>
        <w:spacing w:before="120" w:after="120" w:line="360" w:lineRule="auto"/>
        <w:jc w:val="center"/>
        <w:outlineLvl w:val="0"/>
        <w:rPr>
          <w:b/>
          <w:bCs/>
          <w:szCs w:val="24"/>
          <w:lang w:eastAsia="fr-FR" w:bidi="fr-FR"/>
        </w:rPr>
      </w:pPr>
      <w:r w:rsidRPr="00255D29">
        <w:rPr>
          <w:b/>
          <w:szCs w:val="24"/>
          <w:lang w:eastAsia="fr-FR" w:bidi="fr-FR"/>
        </w:rPr>
        <w:t>Mise en œuvre d'Eurostars-2</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w:t>
      </w:r>
      <w:r w:rsidRPr="00255D29">
        <w:rPr>
          <w:szCs w:val="24"/>
          <w:lang w:eastAsia="fr-FR" w:bidi="fr-FR"/>
        </w:rPr>
        <w:tab/>
        <w:t>L'ESE organise de manière continue des appels à propositions ouverts avec des dates-butoirs pour l'attribution d'un soutien financier à des actions indirectes.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2.</w:t>
      </w:r>
      <w:r w:rsidRPr="00255D29">
        <w:rPr>
          <w:szCs w:val="24"/>
          <w:lang w:eastAsia="fr-FR" w:bidi="fr-FR"/>
        </w:rPr>
        <w:tab/>
        <w:t xml:space="preserve">Les candidats présentent leurs propositions de projets à l'ESE, qui joue le rôle de guichet unique.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3.</w:t>
      </w:r>
      <w:r w:rsidRPr="00255D29">
        <w:rPr>
          <w:szCs w:val="24"/>
          <w:lang w:eastAsia="fr-FR" w:bidi="fr-FR"/>
        </w:rPr>
        <w:tab/>
        <w:t>Après la clôture d'un appel à propositions, l'ESE procède à un contrôle de recevabilité, au niveau central, sur la base des critères de recevabilité énoncés dans le programme de travail annuel. Les États participants ne peuvent ajouter aucun autre critère de recevabilité.</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4.</w:t>
      </w:r>
      <w:r w:rsidRPr="00255D29">
        <w:rPr>
          <w:szCs w:val="24"/>
          <w:lang w:eastAsia="fr-FR" w:bidi="fr-FR"/>
        </w:rPr>
        <w:tab/>
      </w:r>
      <w:r w:rsidRPr="00255D29">
        <w:rPr>
          <w:b/>
          <w:i/>
          <w:color w:val="000000"/>
          <w:szCs w:val="24"/>
          <w:lang w:eastAsia="fr-FR" w:bidi="fr-FR"/>
        </w:rPr>
        <w:t>Les ONF, coordonnés par l'ESE,</w:t>
      </w:r>
      <w:r w:rsidRPr="00255D29">
        <w:rPr>
          <w:szCs w:val="24"/>
          <w:lang w:eastAsia="fr-FR" w:bidi="fr-FR"/>
        </w:rPr>
        <w:t xml:space="preserve"> vérifient la capacité financière des participants conformément à des règles communes, claires et transparentes.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5.</w:t>
      </w:r>
      <w:r w:rsidRPr="00255D29">
        <w:rPr>
          <w:szCs w:val="24"/>
          <w:lang w:eastAsia="fr-FR" w:bidi="fr-FR"/>
        </w:rPr>
        <w:tab/>
        <w:t>Les propositions recevables sont évaluées de manière centrale et classées par un groupe d'experts externes indépendants conformément aux critères énoncés à l'article </w:t>
      </w:r>
      <w:r w:rsidRPr="00255D29">
        <w:rPr>
          <w:b/>
          <w:i/>
          <w:color w:val="000000"/>
          <w:szCs w:val="24"/>
          <w:lang w:eastAsia="fr-FR" w:bidi="fr-FR"/>
        </w:rPr>
        <w:t>15</w:t>
      </w:r>
      <w:r w:rsidRPr="00255D29">
        <w:rPr>
          <w:szCs w:val="24"/>
          <w:lang w:eastAsia="fr-FR" w:bidi="fr-FR"/>
        </w:rPr>
        <w:t>, paragraphe 1, du règlement (UE) n° </w:t>
      </w:r>
      <w:r w:rsidRPr="00255D29">
        <w:rPr>
          <w:b/>
          <w:i/>
          <w:color w:val="000000"/>
          <w:szCs w:val="24"/>
          <w:lang w:eastAsia="fr-FR" w:bidi="fr-FR"/>
        </w:rPr>
        <w:t>1290/2013</w:t>
      </w:r>
      <w:r w:rsidRPr="00255D29">
        <w:rPr>
          <w:szCs w:val="24"/>
          <w:lang w:eastAsia="fr-FR" w:bidi="fr-FR"/>
        </w:rPr>
        <w:t>, sur la base de procédures transparentes.</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6.</w:t>
      </w:r>
      <w:r w:rsidRPr="00255D29">
        <w:rPr>
          <w:szCs w:val="24"/>
          <w:lang w:eastAsia="fr-FR" w:bidi="fr-FR"/>
        </w:rPr>
        <w:tab/>
        <w:t>L'ESE prévoit une procédure de révision de l'évaluation conformément à l'article </w:t>
      </w:r>
      <w:r w:rsidRPr="00255D29">
        <w:rPr>
          <w:b/>
          <w:i/>
          <w:color w:val="000000"/>
          <w:szCs w:val="24"/>
          <w:lang w:eastAsia="fr-FR" w:bidi="fr-FR"/>
        </w:rPr>
        <w:t>16</w:t>
      </w:r>
      <w:r w:rsidRPr="00255D29">
        <w:rPr>
          <w:szCs w:val="24"/>
          <w:lang w:eastAsia="fr-FR" w:bidi="fr-FR"/>
        </w:rPr>
        <w:t xml:space="preserve"> du règlement (UE) n° </w:t>
      </w:r>
      <w:r w:rsidRPr="00255D29">
        <w:rPr>
          <w:b/>
          <w:i/>
          <w:color w:val="000000"/>
          <w:szCs w:val="24"/>
          <w:lang w:eastAsia="fr-FR" w:bidi="fr-FR"/>
        </w:rPr>
        <w:t>1290/2013.</w:t>
      </w:r>
      <w:r w:rsidRPr="00255D29">
        <w:rPr>
          <w:szCs w:val="24"/>
          <w:lang w:eastAsia="fr-FR" w:bidi="fr-FR"/>
        </w:rPr>
        <w:t xml:space="preserve">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br w:type="page"/>
        <w:t>7.</w:t>
      </w:r>
      <w:r w:rsidRPr="00255D29">
        <w:rPr>
          <w:szCs w:val="24"/>
          <w:lang w:eastAsia="fr-FR" w:bidi="fr-FR"/>
        </w:rPr>
        <w:tab/>
        <w:t>La liste de classement, approuvée dans son ensemble par le groupe à haut niveau Eurostars-2 visé à l'annexe II, est contraignante pour l'attribution des fonds provenant des budgets nationaux aux projets Eurostars-2.</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8.</w:t>
      </w:r>
      <w:r w:rsidRPr="00255D29">
        <w:rPr>
          <w:szCs w:val="24"/>
          <w:lang w:eastAsia="fr-FR" w:bidi="fr-FR"/>
        </w:rPr>
        <w:tab/>
        <w:t xml:space="preserve">Lorsque la liste de classement est approuvée, chaque État participant finance ses participants nationaux dans les projets sélectionnés pour un financement par l'intermédiaire de l'ONF désigné, en déployant tous les efforts possibles pour garantir que les projets occupant les cinquante premières places du classement et au moins 50 % à 75 % des projets au-dessus des seuils sont financés. La contribution financière versée aux participants est calculée conformément aux règles de financement du programme national de l'État participant à Eurostars-2 concerné. La contribution financière de l'Union est transférée par l'ESE aux ONF à condition que ces derniers aient versé leur contribution financière aux projets.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9.</w:t>
      </w:r>
      <w:r w:rsidRPr="00255D29">
        <w:rPr>
          <w:szCs w:val="24"/>
          <w:lang w:eastAsia="fr-FR" w:bidi="fr-FR"/>
        </w:rPr>
        <w:tab/>
        <w:t>Tous les participants éligibles aux projets sélectionnés de manière centrale bénéficient d'un financement. L'attribution du soutien financier par les ONF aux participants aux projets sélectionnés de manière centrale est soumise aux principes d'égalité de traitement, de transparence et de cofinancement.</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10.</w:t>
      </w:r>
      <w:r w:rsidRPr="00255D29">
        <w:rPr>
          <w:szCs w:val="24"/>
          <w:lang w:eastAsia="fr-FR" w:bidi="fr-FR"/>
        </w:rPr>
        <w:tab/>
        <w:t>L'ESE est chargé d'évaluer les propositions, d'informer les ONF, de coordonner le processus de synchronisation, de suivre les projets au moyen de rapports et d'audits effectués par les ONF, et de faire rapport à la Commission afin d'assurer un délai d'engagement court. Il prend aussi les mesures nécessaires pour favoriser la reconnaissance de la contribution de l'Union à Eurostars-2, à la fois au programme lui-même et aux projets individuels. Il favorise une visibilité appropriée de la contribution de l'Union par l'utilisation du logo d'Horizon 2020 dans toutes les publications, notamment les documents imprimés et électroniques, en rapport avec Eurostars-2.</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br w:type="page"/>
        <w:t>11.</w:t>
      </w:r>
      <w:r w:rsidRPr="00255D29">
        <w:rPr>
          <w:szCs w:val="24"/>
          <w:lang w:eastAsia="fr-FR" w:bidi="fr-FR"/>
        </w:rPr>
        <w:tab/>
        <w:t xml:space="preserve">L'ESE conclut des accords bilatéraux Eurostars-2 avec les ONF </w:t>
      </w:r>
      <w:r w:rsidRPr="00255D29">
        <w:rPr>
          <w:b/>
          <w:i/>
          <w:color w:val="000000"/>
          <w:szCs w:val="24"/>
          <w:lang w:eastAsia="fr-FR" w:bidi="fr-FR"/>
        </w:rPr>
        <w:t>des États participants</w:t>
      </w:r>
      <w:r w:rsidRPr="00255D29">
        <w:rPr>
          <w:szCs w:val="24"/>
          <w:lang w:eastAsia="fr-FR" w:bidi="fr-FR"/>
        </w:rPr>
        <w:t>.</w:t>
      </w:r>
      <w:r w:rsidRPr="00255D29">
        <w:rPr>
          <w:b/>
          <w:i/>
          <w:color w:val="000000"/>
          <w:szCs w:val="24"/>
          <w:lang w:eastAsia="fr-FR" w:bidi="fr-FR"/>
        </w:rPr>
        <w:t xml:space="preserve"> Ces</w:t>
      </w:r>
      <w:r w:rsidRPr="00255D29">
        <w:rPr>
          <w:szCs w:val="24"/>
          <w:lang w:eastAsia="fr-FR" w:bidi="fr-FR"/>
        </w:rPr>
        <w:t xml:space="preserve"> accords bilatéraux Eurostars-2 énoncent les responsabilités des parties contractantes conformément aux règles, aux objectifs et aux modalités d'exécution d'Eurostars-2. Les accords bilatéraux Eurostars-2 contiennent les règles régissant le transfert de la contribution de l'Union ainsi que les objectifs opérationnels minimaux et les étapes progressives nationales pour une intégration et une synchronisation accrues des programmes nationaux, y compris un délai d'engagement plus court conformément au règlement (UE, Euratom) n° 966/2012 et au règlement (UE) n° 1290/2013. Ces objectifs et étapes sont convenus avec le groupe à haut niveau Eurostars-2 en concertation avec la Commission. La signature de l'accord bilatéral Eurostars-2 et le respect des objectifs opérationnels et des étapes constituent une condition préalable pour que les ONF puissent recevoir la contribution de l'Union. </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b/>
          <w:i/>
          <w:color w:val="000000"/>
          <w:szCs w:val="24"/>
          <w:lang w:eastAsia="fr-FR" w:bidi="fr-FR"/>
        </w:rPr>
        <w:t>12.</w:t>
      </w:r>
      <w:r w:rsidRPr="00255D29">
        <w:rPr>
          <w:szCs w:val="24"/>
          <w:lang w:eastAsia="fr-FR" w:bidi="fr-FR"/>
        </w:rPr>
        <w:tab/>
      </w:r>
      <w:r w:rsidRPr="00255D29">
        <w:rPr>
          <w:b/>
          <w:i/>
          <w:color w:val="000000"/>
          <w:szCs w:val="24"/>
          <w:lang w:eastAsia="fr-FR" w:bidi="fr-FR"/>
        </w:rPr>
        <w:t>L'ESE peut conclure des accords bilatéraux Eurostars-2 avec les ONF des pays partenaires. Ces accords bilatéraux Eurostars-2 énoncent les responsabilités des parties contractantes conformément aux règles, aux objectifs et aux modalités d'exécution d'Eurostars-2, précisent les conditions dans lesquelles a lieu le partenariat avec Eurostars-2 et mentionnent les objectifs opérationnels minimaux, y compris un délai d'engagement court.</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13.</w:t>
      </w:r>
      <w:r w:rsidRPr="00255D29">
        <w:rPr>
          <w:szCs w:val="24"/>
          <w:lang w:eastAsia="fr-FR" w:bidi="fr-FR"/>
        </w:rPr>
        <w:tab/>
        <w:t>Il convient également d'organiser des activités de mise en réseau et un échange des meilleures pratiques entre les États participants afin de favoriser une intégration plus poussée sur les plans scientifique, financier et de la gestion.</w:t>
      </w:r>
    </w:p>
    <w:p w:rsidR="002022AB" w:rsidRPr="00255D29" w:rsidRDefault="002022AB" w:rsidP="00075179">
      <w:pPr>
        <w:autoSpaceDE w:val="0"/>
        <w:autoSpaceDN w:val="0"/>
        <w:adjustRightInd w:val="0"/>
        <w:spacing w:before="120" w:after="120" w:line="360" w:lineRule="auto"/>
        <w:ind w:left="850" w:hanging="850"/>
        <w:rPr>
          <w:szCs w:val="24"/>
          <w:lang w:eastAsia="fr-FR" w:bidi="fr-FR"/>
        </w:rPr>
      </w:pPr>
      <w:r w:rsidRPr="00255D29">
        <w:rPr>
          <w:szCs w:val="24"/>
          <w:lang w:eastAsia="fr-FR" w:bidi="fr-FR"/>
        </w:rPr>
        <w:t>14.</w:t>
      </w:r>
      <w:r w:rsidRPr="00255D29">
        <w:rPr>
          <w:szCs w:val="24"/>
          <w:lang w:eastAsia="fr-FR" w:bidi="fr-FR"/>
        </w:rPr>
        <w:tab/>
        <w:t xml:space="preserve">Parmi les autres activités figurent le courtage, la promotion du programme et des activités de mise en réseau avec d'autres parties prenantes (investisseurs, prestataires de recherche et innovation, intermédiaires), organisées essentiellement pour élargir la participation des bénéficiaires dans tous les États participants et pour associer les PME sans expérience préalable à des projets de recherche transnationaux. </w:t>
      </w:r>
    </w:p>
    <w:p w:rsidR="002022AB" w:rsidRPr="00255D29" w:rsidRDefault="002022AB" w:rsidP="00075179">
      <w:pPr>
        <w:pBdr>
          <w:bottom w:val="single" w:sz="4" w:space="0" w:color="000000"/>
        </w:pBdr>
        <w:autoSpaceDE w:val="0"/>
        <w:autoSpaceDN w:val="0"/>
        <w:adjustRightInd w:val="0"/>
        <w:spacing w:before="120" w:after="120" w:line="360" w:lineRule="auto"/>
        <w:ind w:left="3400" w:right="3400"/>
        <w:jc w:val="center"/>
        <w:rPr>
          <w:b/>
          <w:bCs/>
          <w:szCs w:val="24"/>
          <w:lang w:eastAsia="fr-FR" w:bidi="fr-FR"/>
        </w:rPr>
      </w:pPr>
    </w:p>
    <w:p w:rsidR="002022AB" w:rsidRPr="00255D29" w:rsidRDefault="002022AB" w:rsidP="00075179">
      <w:pPr>
        <w:autoSpaceDE w:val="0"/>
        <w:autoSpaceDN w:val="0"/>
        <w:adjustRightInd w:val="0"/>
        <w:spacing w:before="120" w:after="120" w:line="360" w:lineRule="auto"/>
        <w:rPr>
          <w:b/>
          <w:bCs/>
          <w:szCs w:val="24"/>
          <w:u w:val="single"/>
          <w:lang w:eastAsia="fr-FR" w:bidi="fr-FR"/>
        </w:rPr>
        <w:sectPr w:rsidR="002022AB" w:rsidRPr="00255D29" w:rsidSect="00075179">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7" w:h="16839"/>
          <w:pgMar w:top="1134" w:right="1417" w:bottom="1134" w:left="1417" w:header="709" w:footer="709" w:gutter="0"/>
          <w:cols w:space="708"/>
          <w:noEndnote/>
          <w:docGrid w:linePitch="360"/>
        </w:sectPr>
      </w:pPr>
    </w:p>
    <w:p w:rsidR="002022AB" w:rsidRPr="00255D29" w:rsidRDefault="002022AB" w:rsidP="00075179">
      <w:pPr>
        <w:autoSpaceDE w:val="0"/>
        <w:autoSpaceDN w:val="0"/>
        <w:adjustRightInd w:val="0"/>
        <w:spacing w:before="120" w:after="120" w:line="360" w:lineRule="auto"/>
        <w:jc w:val="center"/>
        <w:rPr>
          <w:b/>
          <w:bCs/>
          <w:szCs w:val="24"/>
          <w:u w:val="single"/>
          <w:lang w:eastAsia="fr-FR" w:bidi="fr-FR"/>
        </w:rPr>
      </w:pPr>
      <w:r w:rsidRPr="00255D29">
        <w:rPr>
          <w:b/>
          <w:szCs w:val="24"/>
          <w:u w:val="single"/>
          <w:lang w:eastAsia="fr-FR" w:bidi="fr-FR"/>
        </w:rPr>
        <w:t>ANNEXE II</w:t>
      </w:r>
    </w:p>
    <w:p w:rsidR="002022AB" w:rsidRPr="00255D29" w:rsidRDefault="002022AB" w:rsidP="00075179">
      <w:pPr>
        <w:autoSpaceDE w:val="0"/>
        <w:autoSpaceDN w:val="0"/>
        <w:adjustRightInd w:val="0"/>
        <w:spacing w:before="120" w:after="120" w:line="360" w:lineRule="auto"/>
        <w:jc w:val="center"/>
        <w:outlineLvl w:val="0"/>
        <w:rPr>
          <w:b/>
          <w:bCs/>
          <w:szCs w:val="24"/>
          <w:lang w:eastAsia="fr-FR" w:bidi="fr-FR"/>
        </w:rPr>
      </w:pPr>
      <w:r w:rsidRPr="00255D29">
        <w:rPr>
          <w:b/>
          <w:szCs w:val="24"/>
          <w:lang w:eastAsia="fr-FR" w:bidi="fr-FR"/>
        </w:rPr>
        <w:t>Gouvernance d'Eurostars-2</w:t>
      </w:r>
    </w:p>
    <w:p w:rsidR="002022AB" w:rsidRPr="00255D29" w:rsidRDefault="002022AB" w:rsidP="00075179">
      <w:pPr>
        <w:autoSpaceDE w:val="0"/>
        <w:autoSpaceDN w:val="0"/>
        <w:adjustRightInd w:val="0"/>
        <w:spacing w:before="120" w:after="120" w:line="360" w:lineRule="auto"/>
        <w:ind w:left="567" w:hanging="567"/>
        <w:rPr>
          <w:szCs w:val="24"/>
          <w:lang w:eastAsia="fr-FR" w:bidi="fr-FR"/>
        </w:rPr>
      </w:pPr>
      <w:r w:rsidRPr="00255D29">
        <w:rPr>
          <w:szCs w:val="24"/>
          <w:lang w:eastAsia="fr-FR" w:bidi="fr-FR"/>
        </w:rPr>
        <w:t>1.</w:t>
      </w:r>
      <w:r w:rsidRPr="00255D29">
        <w:rPr>
          <w:szCs w:val="24"/>
          <w:lang w:eastAsia="fr-FR" w:bidi="fr-FR"/>
        </w:rPr>
        <w:tab/>
        <w:t xml:space="preserve">L'ESE gère Eurostars-2. </w:t>
      </w:r>
    </w:p>
    <w:p w:rsidR="002022AB" w:rsidRPr="00255D29" w:rsidRDefault="002022AB" w:rsidP="00075179">
      <w:pPr>
        <w:autoSpaceDE w:val="0"/>
        <w:autoSpaceDN w:val="0"/>
        <w:adjustRightInd w:val="0"/>
        <w:spacing w:before="120" w:after="120" w:line="360" w:lineRule="auto"/>
        <w:ind w:left="567"/>
        <w:outlineLvl w:val="0"/>
        <w:rPr>
          <w:szCs w:val="24"/>
          <w:lang w:eastAsia="fr-FR" w:bidi="fr-FR"/>
        </w:rPr>
      </w:pPr>
      <w:r w:rsidRPr="00255D29">
        <w:rPr>
          <w:szCs w:val="24"/>
          <w:lang w:eastAsia="fr-FR" w:bidi="fr-FR"/>
        </w:rPr>
        <w:t>Le chef de l'ESE, en tant que représentant légal de l'ESE, est chargé de l'exécution d'Eurostars-2 en effectuant les tâches suivantes:</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a)</w:t>
      </w:r>
      <w:r w:rsidRPr="00255D29">
        <w:rPr>
          <w:szCs w:val="24"/>
          <w:lang w:eastAsia="fr-FR" w:bidi="fr-FR"/>
        </w:rPr>
        <w:tab/>
        <w:t xml:space="preserve">l'établissement du budget annuel pour les appels, l'organisation centrale des appels à propositions communs et la réception centralisée des propositions en tant que guichet unique; l'organisation centrale du contrôle de la recevabilité et de l'évaluation des propositions conformément à des critères communs de recevabilité et d'évaluation; l'organisation centrale du </w:t>
      </w:r>
      <w:r w:rsidRPr="00255D29">
        <w:rPr>
          <w:b/>
          <w:i/>
          <w:color w:val="000000"/>
          <w:szCs w:val="24"/>
          <w:lang w:eastAsia="fr-FR" w:bidi="fr-FR"/>
        </w:rPr>
        <w:t>classement et</w:t>
      </w:r>
      <w:r w:rsidRPr="00255D29">
        <w:rPr>
          <w:szCs w:val="24"/>
          <w:lang w:eastAsia="fr-FR" w:bidi="fr-FR"/>
        </w:rPr>
        <w:t xml:space="preserve"> de la sélection des propositions en vue d'un financement; la supervision et le suivi des projets; la réception, l'attribution et le suivi de la contribution de l'Union;</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la collecte des informations nécessaires auprès des ONF en vue du transfert de la contribution de l'Union;</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c)</w:t>
      </w:r>
      <w:r w:rsidRPr="00255D29">
        <w:rPr>
          <w:szCs w:val="24"/>
          <w:lang w:eastAsia="fr-FR" w:bidi="fr-FR"/>
        </w:rPr>
        <w:tab/>
        <w:t>la promotion d'Eurostars-2;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d)</w:t>
      </w:r>
      <w:r w:rsidRPr="00255D29">
        <w:rPr>
          <w:szCs w:val="24"/>
          <w:lang w:eastAsia="fr-FR" w:bidi="fr-FR"/>
        </w:rPr>
        <w:tab/>
        <w:t>les rapports au groupe à haut niveau Eurostars-2 et à la Commission sur le</w:t>
      </w:r>
      <w:r w:rsidRPr="00255D29">
        <w:rPr>
          <w:b/>
          <w:i/>
          <w:color w:val="000000"/>
          <w:szCs w:val="24"/>
          <w:lang w:eastAsia="fr-FR" w:bidi="fr-FR"/>
        </w:rPr>
        <w:t xml:space="preserve"> programme</w:t>
      </w:r>
      <w:r w:rsidRPr="00255D29">
        <w:rPr>
          <w:szCs w:val="24"/>
          <w:lang w:eastAsia="fr-FR" w:bidi="fr-FR"/>
        </w:rPr>
        <w:t xml:space="preserve"> 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e)</w:t>
      </w:r>
      <w:r w:rsidRPr="00255D29">
        <w:rPr>
          <w:szCs w:val="24"/>
          <w:lang w:eastAsia="fr-FR" w:bidi="fr-FR"/>
        </w:rPr>
        <w:tab/>
        <w:t>l'information du réseau Eureka en ce qui concerne les activités d'Eurostars-2;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f)</w:t>
      </w:r>
      <w:r w:rsidRPr="00255D29">
        <w:rPr>
          <w:szCs w:val="24"/>
          <w:lang w:eastAsia="fr-FR" w:bidi="fr-FR"/>
        </w:rPr>
        <w:tab/>
        <w:t>la signature de la convention de délégation avec la Commission, des accords bilatéraux avec les ONF et des contrats avec les experts qui évaluent les applications d'Eurostars-2;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g)</w:t>
      </w:r>
      <w:r w:rsidRPr="00255D29">
        <w:rPr>
          <w:szCs w:val="24"/>
          <w:lang w:eastAsia="fr-FR" w:bidi="fr-FR"/>
        </w:rPr>
        <w:tab/>
        <w:t>l'adoption du programme de travail annuel Eurostars-2 après que le groupe à haut niveau Eurostars</w:t>
      </w:r>
      <w:r w:rsidRPr="00255D29">
        <w:rPr>
          <w:szCs w:val="24"/>
          <w:lang w:eastAsia="fr-FR" w:bidi="fr-FR"/>
        </w:rPr>
        <w:noBreakHyphen/>
        <w:t xml:space="preserve">2 et la Commission ont donné leur accord préalable. </w:t>
      </w:r>
    </w:p>
    <w:p w:rsidR="002022AB" w:rsidRPr="00255D29" w:rsidRDefault="002022AB" w:rsidP="00075179">
      <w:pPr>
        <w:autoSpaceDE w:val="0"/>
        <w:autoSpaceDN w:val="0"/>
        <w:adjustRightInd w:val="0"/>
        <w:spacing w:before="120" w:after="120" w:line="360" w:lineRule="auto"/>
        <w:ind w:left="567" w:hanging="567"/>
        <w:rPr>
          <w:szCs w:val="24"/>
          <w:lang w:eastAsia="fr-FR" w:bidi="fr-FR"/>
        </w:rPr>
      </w:pPr>
      <w:r w:rsidRPr="00255D29">
        <w:rPr>
          <w:szCs w:val="24"/>
          <w:lang w:eastAsia="fr-FR" w:bidi="fr-FR"/>
        </w:rPr>
        <w:br w:type="page"/>
        <w:t>2.</w:t>
      </w:r>
      <w:r w:rsidRPr="00255D29">
        <w:rPr>
          <w:szCs w:val="24"/>
          <w:lang w:eastAsia="fr-FR" w:bidi="fr-FR"/>
        </w:rPr>
        <w:tab/>
        <w:t xml:space="preserve">Le groupe à haut niveau Eurostars-2, composé des représentants nationaux du groupe à haut niveau </w:t>
      </w:r>
      <w:r w:rsidRPr="00255D29">
        <w:rPr>
          <w:b/>
          <w:i/>
          <w:color w:val="000000"/>
          <w:szCs w:val="24"/>
          <w:lang w:eastAsia="fr-FR" w:bidi="fr-FR"/>
        </w:rPr>
        <w:t>Eureka</w:t>
      </w:r>
      <w:r w:rsidRPr="00255D29">
        <w:rPr>
          <w:szCs w:val="24"/>
          <w:lang w:eastAsia="fr-FR" w:bidi="fr-FR"/>
        </w:rPr>
        <w:t xml:space="preserve"> des États participant à Eurostars-2, supervise les activités de l'ESE en ce qui concerne Eurostars-2 en:</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a)</w:t>
      </w:r>
      <w:r w:rsidRPr="00255D29">
        <w:rPr>
          <w:szCs w:val="24"/>
          <w:lang w:eastAsia="fr-FR" w:bidi="fr-FR"/>
        </w:rPr>
        <w:tab/>
        <w:t>supervisant la mise en œuvre d'Eurostars-2;</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b)</w:t>
      </w:r>
      <w:r w:rsidRPr="00255D29">
        <w:rPr>
          <w:szCs w:val="24"/>
          <w:lang w:eastAsia="fr-FR" w:bidi="fr-FR"/>
        </w:rPr>
        <w:tab/>
        <w:t>désignant les membres du groupe consultatif Eurostars-2 (GCE);</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c)</w:t>
      </w:r>
      <w:r w:rsidRPr="00255D29">
        <w:rPr>
          <w:szCs w:val="24"/>
          <w:lang w:eastAsia="fr-FR" w:bidi="fr-FR"/>
        </w:rPr>
        <w:tab/>
        <w:t>approuvant le programme de travail annuel;</w:t>
      </w:r>
    </w:p>
    <w:p w:rsidR="002022AB" w:rsidRPr="00255D29" w:rsidRDefault="002022AB" w:rsidP="00075179">
      <w:pPr>
        <w:autoSpaceDE w:val="0"/>
        <w:autoSpaceDN w:val="0"/>
        <w:adjustRightInd w:val="0"/>
        <w:spacing w:before="120" w:after="120" w:line="360" w:lineRule="auto"/>
        <w:ind w:left="1417" w:hanging="567"/>
        <w:rPr>
          <w:szCs w:val="24"/>
          <w:lang w:eastAsia="fr-FR" w:bidi="fr-FR"/>
        </w:rPr>
      </w:pPr>
      <w:r w:rsidRPr="00255D29">
        <w:rPr>
          <w:szCs w:val="24"/>
          <w:lang w:eastAsia="fr-FR" w:bidi="fr-FR"/>
        </w:rPr>
        <w:t>d)</w:t>
      </w:r>
      <w:r w:rsidRPr="00255D29">
        <w:rPr>
          <w:szCs w:val="24"/>
          <w:lang w:eastAsia="fr-FR" w:bidi="fr-FR"/>
        </w:rPr>
        <w:tab/>
        <w:t>approuvant la liste de classement des projets Eurostars-2 à financer et en prenant la décision d'attribution.</w:t>
      </w:r>
    </w:p>
    <w:p w:rsidR="002022AB" w:rsidRPr="00255D29" w:rsidRDefault="002022AB" w:rsidP="00075179">
      <w:pPr>
        <w:autoSpaceDE w:val="0"/>
        <w:autoSpaceDN w:val="0"/>
        <w:adjustRightInd w:val="0"/>
        <w:spacing w:before="120" w:after="120" w:line="360" w:lineRule="auto"/>
        <w:ind w:left="567"/>
        <w:outlineLvl w:val="0"/>
        <w:rPr>
          <w:szCs w:val="24"/>
          <w:lang w:eastAsia="fr-FR" w:bidi="fr-FR"/>
        </w:rPr>
      </w:pPr>
      <w:r w:rsidRPr="00255D29">
        <w:rPr>
          <w:szCs w:val="24"/>
          <w:lang w:eastAsia="fr-FR" w:bidi="fr-FR"/>
        </w:rPr>
        <w:t>L'Union, représentée par la Commission, a le statut d'observateur au sein du groupe à haut niveau Eurostars</w:t>
      </w:r>
      <w:r w:rsidRPr="00255D29">
        <w:rPr>
          <w:szCs w:val="24"/>
          <w:lang w:eastAsia="fr-FR" w:bidi="fr-FR"/>
        </w:rPr>
        <w:noBreakHyphen/>
        <w:t>2. La Commission est invitée à participer aux réunions, dont elle reçoit tous les documents, et peut prendre part aux discussions.</w:t>
      </w:r>
    </w:p>
    <w:p w:rsidR="002022AB" w:rsidRPr="00255D29" w:rsidRDefault="002022AB" w:rsidP="00075179">
      <w:pPr>
        <w:autoSpaceDE w:val="0"/>
        <w:autoSpaceDN w:val="0"/>
        <w:adjustRightInd w:val="0"/>
        <w:spacing w:before="120" w:after="120" w:line="360" w:lineRule="auto"/>
        <w:ind w:left="567"/>
        <w:outlineLvl w:val="0"/>
        <w:rPr>
          <w:szCs w:val="24"/>
          <w:lang w:eastAsia="fr-FR" w:bidi="fr-FR"/>
        </w:rPr>
      </w:pPr>
      <w:r w:rsidRPr="00255D29">
        <w:rPr>
          <w:szCs w:val="24"/>
          <w:lang w:eastAsia="fr-FR" w:bidi="fr-FR"/>
        </w:rPr>
        <w:t xml:space="preserve">Tout pays </w:t>
      </w:r>
      <w:r w:rsidRPr="00255D29">
        <w:rPr>
          <w:b/>
          <w:i/>
          <w:color w:val="000000"/>
          <w:szCs w:val="24"/>
          <w:lang w:eastAsia="fr-FR" w:bidi="fr-FR"/>
        </w:rPr>
        <w:t>partenaire ▌</w:t>
      </w:r>
      <w:r w:rsidRPr="00255D29">
        <w:rPr>
          <w:szCs w:val="24"/>
          <w:lang w:eastAsia="fr-FR" w:bidi="fr-FR"/>
        </w:rPr>
        <w:t>a le droit d'envoyer des représentants aux réunions du groupe à haut niveau Eurostars</w:t>
      </w:r>
      <w:r w:rsidRPr="00255D29">
        <w:rPr>
          <w:szCs w:val="24"/>
          <w:lang w:eastAsia="fr-FR" w:bidi="fr-FR"/>
        </w:rPr>
        <w:noBreakHyphen/>
        <w:t>2 en qualité d'observateurs.</w:t>
      </w:r>
    </w:p>
    <w:p w:rsidR="002022AB" w:rsidRPr="00255D29" w:rsidRDefault="002022AB" w:rsidP="00075179">
      <w:pPr>
        <w:autoSpaceDE w:val="0"/>
        <w:autoSpaceDN w:val="0"/>
        <w:adjustRightInd w:val="0"/>
        <w:spacing w:before="120" w:after="120" w:line="360" w:lineRule="auto"/>
        <w:ind w:left="567" w:hanging="567"/>
        <w:rPr>
          <w:szCs w:val="24"/>
          <w:lang w:eastAsia="fr-FR" w:bidi="fr-FR"/>
        </w:rPr>
      </w:pPr>
      <w:r w:rsidRPr="00255D29">
        <w:rPr>
          <w:szCs w:val="24"/>
          <w:lang w:eastAsia="fr-FR" w:bidi="fr-FR"/>
        </w:rPr>
        <w:br w:type="page"/>
        <w:t>3.</w:t>
      </w:r>
      <w:r w:rsidRPr="00255D29">
        <w:rPr>
          <w:szCs w:val="24"/>
          <w:lang w:eastAsia="fr-FR" w:bidi="fr-FR"/>
        </w:rPr>
        <w:tab/>
        <w:t>Le GCE se compose des coordinateurs nationaux pour les projets</w:t>
      </w:r>
      <w:r w:rsidRPr="00255D29">
        <w:rPr>
          <w:b/>
          <w:i/>
          <w:color w:val="000000"/>
          <w:szCs w:val="24"/>
          <w:lang w:eastAsia="fr-FR" w:bidi="fr-FR"/>
        </w:rPr>
        <w:t xml:space="preserve"> Eureka</w:t>
      </w:r>
      <w:r w:rsidRPr="00255D29">
        <w:rPr>
          <w:szCs w:val="24"/>
          <w:lang w:eastAsia="fr-FR" w:bidi="fr-FR"/>
        </w:rPr>
        <w:t xml:space="preserve"> (membres du gouvernement national ou de l'agence chargée de l'aspect opérationnel de la gestion d'Eureka/d'Eurostars et en charge de la promotion d'Eurostars-2 dans les </w:t>
      </w:r>
      <w:r w:rsidRPr="00255D29">
        <w:rPr>
          <w:b/>
          <w:i/>
          <w:color w:val="000000"/>
          <w:szCs w:val="24"/>
          <w:lang w:eastAsia="fr-FR" w:bidi="fr-FR"/>
        </w:rPr>
        <w:t>États</w:t>
      </w:r>
      <w:r w:rsidRPr="00255D29">
        <w:rPr>
          <w:szCs w:val="24"/>
          <w:lang w:eastAsia="fr-FR" w:bidi="fr-FR"/>
        </w:rPr>
        <w:t xml:space="preserve"> participants) des </w:t>
      </w:r>
      <w:r w:rsidRPr="00255D29">
        <w:rPr>
          <w:b/>
          <w:i/>
          <w:color w:val="000000"/>
          <w:szCs w:val="24"/>
          <w:lang w:eastAsia="fr-FR" w:bidi="fr-FR"/>
        </w:rPr>
        <w:t>États</w:t>
      </w:r>
      <w:r w:rsidRPr="00255D29">
        <w:rPr>
          <w:szCs w:val="24"/>
          <w:lang w:eastAsia="fr-FR" w:bidi="fr-FR"/>
        </w:rPr>
        <w:t xml:space="preserve"> participants. La Commission </w:t>
      </w:r>
      <w:r w:rsidRPr="00255D29">
        <w:rPr>
          <w:b/>
          <w:i/>
          <w:color w:val="000000"/>
          <w:szCs w:val="24"/>
          <w:lang w:eastAsia="fr-FR" w:bidi="fr-FR"/>
        </w:rPr>
        <w:t>et les pays partenaires</w:t>
      </w:r>
      <w:r w:rsidRPr="00255D29">
        <w:rPr>
          <w:szCs w:val="24"/>
          <w:lang w:eastAsia="fr-FR" w:bidi="fr-FR"/>
        </w:rPr>
        <w:t xml:space="preserve"> ont le droit d'envoyer des représentants aux réunions du GCE en qualité d'observateurs. Les réunions du GCE sont présidées par l'ESE.</w:t>
      </w:r>
    </w:p>
    <w:p w:rsidR="002022AB" w:rsidRPr="00255D29" w:rsidRDefault="002022AB" w:rsidP="00075179">
      <w:pPr>
        <w:autoSpaceDE w:val="0"/>
        <w:autoSpaceDN w:val="0"/>
        <w:adjustRightInd w:val="0"/>
        <w:spacing w:before="120" w:after="120" w:line="360" w:lineRule="auto"/>
        <w:ind w:left="567"/>
        <w:outlineLvl w:val="0"/>
        <w:rPr>
          <w:szCs w:val="24"/>
          <w:lang w:eastAsia="fr-FR" w:bidi="fr-FR"/>
        </w:rPr>
      </w:pPr>
      <w:r w:rsidRPr="00255D29">
        <w:rPr>
          <w:szCs w:val="24"/>
          <w:lang w:eastAsia="fr-FR" w:bidi="fr-FR"/>
        </w:rPr>
        <w:t>Le GCE conseille l'ESE et le groupe à haut niveau Eurostars-2 en ce qui concerne les modalités d'exécution d'Eurostars-2.</w:t>
      </w:r>
    </w:p>
    <w:p w:rsidR="002022AB" w:rsidRPr="00255D29" w:rsidRDefault="002022AB" w:rsidP="00075179">
      <w:pPr>
        <w:autoSpaceDE w:val="0"/>
        <w:autoSpaceDN w:val="0"/>
        <w:adjustRightInd w:val="0"/>
        <w:spacing w:before="120" w:after="120" w:line="360" w:lineRule="auto"/>
        <w:ind w:left="567" w:hanging="567"/>
        <w:rPr>
          <w:b/>
          <w:bCs/>
          <w:szCs w:val="24"/>
          <w:lang w:eastAsia="fr-FR" w:bidi="fr-FR"/>
        </w:rPr>
      </w:pPr>
      <w:r w:rsidRPr="00255D29">
        <w:rPr>
          <w:szCs w:val="24"/>
          <w:lang w:eastAsia="fr-FR" w:bidi="fr-FR"/>
        </w:rPr>
        <w:t>4.</w:t>
      </w:r>
      <w:r w:rsidRPr="00255D29">
        <w:rPr>
          <w:szCs w:val="24"/>
          <w:lang w:eastAsia="fr-FR" w:bidi="fr-FR"/>
        </w:rPr>
        <w:tab/>
        <w:t>L'ONF est chargé de l'administration du soutien financier aux participants nationaux.</w:t>
      </w:r>
    </w:p>
    <w:p w:rsidR="002022AB" w:rsidRPr="00255D29" w:rsidRDefault="002022AB" w:rsidP="00075179">
      <w:pPr>
        <w:pBdr>
          <w:bottom w:val="single" w:sz="4" w:space="0" w:color="000000"/>
        </w:pBdr>
        <w:spacing w:before="360" w:after="120" w:line="360" w:lineRule="auto"/>
        <w:ind w:left="3400" w:right="3400"/>
        <w:jc w:val="center"/>
        <w:rPr>
          <w:b/>
          <w:szCs w:val="24"/>
          <w:lang w:eastAsia="fr-FR" w:bidi="fr-FR"/>
        </w:rPr>
      </w:pPr>
    </w:p>
    <w:p w:rsidR="002022AB" w:rsidRPr="00624FEC" w:rsidRDefault="002022AB" w:rsidP="00075179">
      <w:pPr>
        <w:spacing w:after="240"/>
        <w:ind w:left="567" w:hanging="567"/>
        <w:rPr>
          <w:szCs w:val="24"/>
        </w:rPr>
      </w:pPr>
    </w:p>
    <w:p w:rsidR="002022AB" w:rsidRDefault="002022AB">
      <w:pPr>
        <w:rPr>
          <w:noProof w:val="0"/>
        </w:rPr>
        <w:sectPr w:rsidR="002022AB" w:rsidSect="00075179">
          <w:headerReference w:type="even" r:id="rId32"/>
          <w:headerReference w:type="default" r:id="rId33"/>
          <w:footerReference w:type="even" r:id="rId34"/>
          <w:footerReference w:type="default" r:id="rId35"/>
          <w:headerReference w:type="first" r:id="rId36"/>
          <w:footerReference w:type="first" r:id="rId37"/>
          <w:footnotePr>
            <w:numRestart w:val="eachPage"/>
          </w:footnotePr>
          <w:endnotePr>
            <w:numFmt w:val="decimal"/>
          </w:endnotePr>
          <w:type w:val="continuous"/>
          <w:pgSz w:w="11905" w:h="16837" w:code="9"/>
          <w:pgMar w:top="1134" w:right="1247" w:bottom="1814" w:left="1418" w:header="720" w:footer="397" w:gutter="0"/>
          <w:cols w:space="720"/>
          <w:noEndnote/>
          <w:docGrid w:linePitch="326"/>
        </w:sectPr>
      </w:pPr>
    </w:p>
    <w:p w:rsidR="002022AB" w:rsidRDefault="002022AB" w:rsidP="00075179">
      <w:pPr>
        <w:pStyle w:val="ATHeading1"/>
      </w:pPr>
      <w:bookmarkStart w:id="32" w:name="_Toc385342988"/>
      <w:bookmarkStart w:id="33" w:name="_Toc385343063"/>
      <w:r>
        <w:t>P7_TA-PROV(2014)0365</w:t>
      </w:r>
      <w:bookmarkEnd w:id="32"/>
      <w:bookmarkEnd w:id="33"/>
    </w:p>
    <w:p w:rsidR="002022AB" w:rsidRDefault="002022AB" w:rsidP="00075179">
      <w:pPr>
        <w:pStyle w:val="ATHeading2"/>
      </w:pPr>
      <w:bookmarkStart w:id="34" w:name="_Toc385342989"/>
      <w:bookmarkStart w:id="35" w:name="_Toc385343064"/>
      <w:r>
        <w:t>Programme européen d'innovation et de recherche en métrologie ***I</w:t>
      </w:r>
      <w:bookmarkEnd w:id="34"/>
      <w:bookmarkEnd w:id="35"/>
    </w:p>
    <w:p w:rsidR="002022AB" w:rsidRDefault="002022AB" w:rsidP="00075179">
      <w:pPr>
        <w:rPr>
          <w:i/>
          <w:vanish/>
        </w:rPr>
      </w:pPr>
      <w:r>
        <w:rPr>
          <w:i/>
        </w:rPr>
        <w:fldChar w:fldCharType="begin"/>
      </w:r>
      <w:r>
        <w:rPr>
          <w:i/>
        </w:rPr>
        <w:instrText xml:space="preserve"> TC"</w:instrText>
      </w:r>
      <w:bookmarkStart w:id="36" w:name="_Toc385342990"/>
      <w:bookmarkStart w:id="37" w:name="_Toc385343065"/>
      <w:r>
        <w:rPr>
          <w:i/>
        </w:rPr>
        <w:instrText>(A7-0063/2014 - Rapporteure: Niki Tzavela)</w:instrText>
      </w:r>
      <w:bookmarkEnd w:id="36"/>
      <w:bookmarkEnd w:id="37"/>
      <w:r>
        <w:rPr>
          <w:i/>
        </w:rPr>
        <w:instrText xml:space="preserve">"\l3 \n&gt; \* MERGEFORMAT </w:instrText>
      </w:r>
      <w:r>
        <w:rPr>
          <w:i/>
        </w:rPr>
        <w:fldChar w:fldCharType="end"/>
      </w:r>
    </w:p>
    <w:p w:rsidR="002022AB" w:rsidRDefault="002022AB" w:rsidP="00075179">
      <w:pPr>
        <w:rPr>
          <w:vanish/>
        </w:rPr>
      </w:pPr>
      <w:r w:rsidRPr="004B7466">
        <w:rPr>
          <w:vanish/>
        </w:rPr>
        <w:t>Commission de l'industrie, de la recherche et de l'énergie</w:t>
      </w:r>
    </w:p>
    <w:p w:rsidR="002022AB" w:rsidRDefault="002022AB" w:rsidP="00075179">
      <w:pPr>
        <w:rPr>
          <w:vanish/>
        </w:rPr>
      </w:pPr>
      <w:r w:rsidRPr="004B7466">
        <w:rPr>
          <w:vanish/>
        </w:rPr>
        <w:t>PE522.947</w:t>
      </w:r>
    </w:p>
    <w:p w:rsidR="002022AB" w:rsidRDefault="002022AB" w:rsidP="00075179">
      <w:pPr>
        <w:pStyle w:val="ATHeading3"/>
      </w:pPr>
      <w:bookmarkStart w:id="38" w:name="_Toc385343066"/>
      <w:r>
        <w:t>Résolution législative du Parlement européen du 15 avril 2014 sur la proposition de décision du Parlement européen et du Conseil relative à la participation de l'Union à un programme européen d'innovation et de recherche en métrologie entrepris conjointement par plusieurs États membres (COM(2013)0497 – C7-0221/2013 – 2013/0242(COD))</w:t>
      </w:r>
      <w:bookmarkEnd w:id="38"/>
    </w:p>
    <w:p w:rsidR="002022AB" w:rsidRDefault="002022AB" w:rsidP="00075179"/>
    <w:p w:rsidR="002022AB" w:rsidRPr="00360CD8" w:rsidRDefault="002022AB" w:rsidP="00075179">
      <w:pPr>
        <w:pStyle w:val="Normal12Bold"/>
        <w:rPr>
          <w:szCs w:val="24"/>
        </w:rPr>
      </w:pPr>
      <w:r w:rsidRPr="00360CD8">
        <w:rPr>
          <w:noProof/>
          <w:szCs w:val="24"/>
        </w:rPr>
        <w:t>(Procédure législative ordinaire:</w:t>
      </w:r>
      <w:r w:rsidRPr="00360CD8">
        <w:rPr>
          <w:szCs w:val="24"/>
        </w:rPr>
        <w:t xml:space="preserve"> </w:t>
      </w:r>
      <w:r w:rsidRPr="00360CD8">
        <w:rPr>
          <w:noProof/>
          <w:szCs w:val="24"/>
        </w:rPr>
        <w:t>première lecture)</w:t>
      </w:r>
    </w:p>
    <w:p w:rsidR="002022AB" w:rsidRPr="00360CD8" w:rsidRDefault="002022AB" w:rsidP="00075179">
      <w:pPr>
        <w:pStyle w:val="Normal12"/>
        <w:spacing w:before="360"/>
        <w:rPr>
          <w:szCs w:val="24"/>
        </w:rPr>
      </w:pPr>
      <w:r w:rsidRPr="00360CD8">
        <w:rPr>
          <w:i/>
          <w:noProof/>
          <w:szCs w:val="24"/>
        </w:rPr>
        <w:t>Le Parlement européen</w:t>
      </w:r>
      <w:r w:rsidRPr="00360CD8">
        <w:rPr>
          <w:noProof/>
          <w:szCs w:val="24"/>
        </w:rPr>
        <w:t>,</w:t>
      </w:r>
    </w:p>
    <w:p w:rsidR="002022AB" w:rsidRPr="00360CD8" w:rsidRDefault="002022AB" w:rsidP="00075179">
      <w:pPr>
        <w:pStyle w:val="Normal12Hanging"/>
        <w:widowControl/>
        <w:rPr>
          <w:szCs w:val="24"/>
        </w:rPr>
      </w:pPr>
      <w:r w:rsidRPr="00360CD8">
        <w:rPr>
          <w:szCs w:val="24"/>
        </w:rPr>
        <w:t>–</w:t>
      </w:r>
      <w:r w:rsidRPr="00360CD8">
        <w:rPr>
          <w:szCs w:val="24"/>
        </w:rPr>
        <w:tab/>
        <w:t>vu la proposition de la Commission au Parlement eu</w:t>
      </w:r>
      <w:r>
        <w:rPr>
          <w:szCs w:val="24"/>
        </w:rPr>
        <w:t>ropéen et au Conseil (COM(2013)</w:t>
      </w:r>
      <w:r w:rsidRPr="00360CD8">
        <w:rPr>
          <w:szCs w:val="24"/>
        </w:rPr>
        <w:t>0497),</w:t>
      </w:r>
    </w:p>
    <w:p w:rsidR="002022AB" w:rsidRPr="00360CD8" w:rsidRDefault="002022AB" w:rsidP="00075179">
      <w:pPr>
        <w:pStyle w:val="Normal12Hanging"/>
        <w:widowControl/>
        <w:rPr>
          <w:szCs w:val="24"/>
        </w:rPr>
      </w:pPr>
      <w:r w:rsidRPr="00360CD8">
        <w:rPr>
          <w:szCs w:val="24"/>
        </w:rPr>
        <w:t>–</w:t>
      </w:r>
      <w:r w:rsidRPr="00360CD8">
        <w:rPr>
          <w:szCs w:val="24"/>
        </w:rPr>
        <w:tab/>
        <w:t xml:space="preserve">vu l'article 294, paragraphe 2, l'article 185 et l'article 188, </w:t>
      </w:r>
      <w:r>
        <w:rPr>
          <w:szCs w:val="24"/>
        </w:rPr>
        <w:t>deuxième alinéa</w:t>
      </w:r>
      <w:r w:rsidRPr="00360CD8">
        <w:rPr>
          <w:szCs w:val="24"/>
        </w:rPr>
        <w:t xml:space="preserve">, du traité sur le fonctionnement de l'Union européenne, conformément auxquels la </w:t>
      </w:r>
      <w:r>
        <w:rPr>
          <w:szCs w:val="24"/>
        </w:rPr>
        <w:t xml:space="preserve">proposition lui a été présentée par la </w:t>
      </w:r>
      <w:r w:rsidRPr="00360CD8">
        <w:rPr>
          <w:szCs w:val="24"/>
        </w:rPr>
        <w:t>Commission (C7-0221/2013),</w:t>
      </w:r>
    </w:p>
    <w:p w:rsidR="002022AB" w:rsidRPr="00360CD8" w:rsidRDefault="002022AB" w:rsidP="00075179">
      <w:pPr>
        <w:pStyle w:val="Normal12Hanging"/>
        <w:widowControl/>
        <w:rPr>
          <w:szCs w:val="24"/>
        </w:rPr>
      </w:pPr>
      <w:r w:rsidRPr="00360CD8">
        <w:rPr>
          <w:szCs w:val="24"/>
        </w:rPr>
        <w:t>–</w:t>
      </w:r>
      <w:r w:rsidRPr="00360CD8">
        <w:rPr>
          <w:szCs w:val="24"/>
        </w:rPr>
        <w:tab/>
        <w:t>vu l'article 294, paragraphe 3, du traité sur le fonctionnement de l'Union européenne,</w:t>
      </w:r>
    </w:p>
    <w:p w:rsidR="002022AB" w:rsidRDefault="002022AB" w:rsidP="00075179">
      <w:pPr>
        <w:pStyle w:val="Normal12Hanging"/>
        <w:widowControl/>
        <w:rPr>
          <w:szCs w:val="24"/>
        </w:rPr>
      </w:pPr>
      <w:r w:rsidRPr="00360CD8">
        <w:rPr>
          <w:szCs w:val="24"/>
        </w:rPr>
        <w:t>–</w:t>
      </w:r>
      <w:r w:rsidRPr="00360CD8">
        <w:rPr>
          <w:szCs w:val="24"/>
        </w:rPr>
        <w:tab/>
        <w:t>vu l'avis du Comité économique et social européen du 10 décembre 2013</w:t>
      </w:r>
      <w:r w:rsidRPr="00360CD8">
        <w:rPr>
          <w:rStyle w:val="FootnoteReference"/>
          <w:szCs w:val="24"/>
        </w:rPr>
        <w:footnoteReference w:id="36"/>
      </w:r>
      <w:r w:rsidRPr="00360CD8">
        <w:rPr>
          <w:szCs w:val="24"/>
        </w:rPr>
        <w:t xml:space="preserve">, </w:t>
      </w:r>
    </w:p>
    <w:p w:rsidR="002022AB" w:rsidRDefault="002022AB" w:rsidP="00075179">
      <w:pPr>
        <w:pStyle w:val="Normal12Hanging"/>
        <w:widowControl/>
      </w:pPr>
      <w:r w:rsidRPr="00B04248">
        <w:t>–</w:t>
      </w:r>
      <w:r w:rsidRPr="00B04248">
        <w:tab/>
        <w:t xml:space="preserve">vu l'engagement pris par le représentant du Conseil, par lettre du </w:t>
      </w:r>
      <w:r>
        <w:t>26</w:t>
      </w:r>
      <w:r w:rsidRPr="00B04248">
        <w:t> </w:t>
      </w:r>
      <w:r>
        <w:t>février</w:t>
      </w:r>
      <w:r w:rsidRPr="00B04248">
        <w:t> 201</w:t>
      </w:r>
      <w:r>
        <w:t>4</w:t>
      </w:r>
      <w:r w:rsidRPr="00B04248">
        <w:t xml:space="preserve">, d'approuver la position du Parlement </w:t>
      </w:r>
      <w:r w:rsidRPr="003A7B6C">
        <w:rPr>
          <w:szCs w:val="24"/>
        </w:rPr>
        <w:t>européen</w:t>
      </w:r>
      <w:r w:rsidRPr="00B04248">
        <w:t>, conformément à l'article 294, paragraphe 4, du traité sur le fonctionnement de l'Union européenne,</w:t>
      </w:r>
    </w:p>
    <w:p w:rsidR="002022AB" w:rsidRPr="00360CD8" w:rsidRDefault="002022AB" w:rsidP="00075179">
      <w:pPr>
        <w:pStyle w:val="Normal12Hanging"/>
        <w:widowControl/>
        <w:rPr>
          <w:szCs w:val="24"/>
        </w:rPr>
      </w:pPr>
      <w:r w:rsidRPr="00360CD8">
        <w:rPr>
          <w:szCs w:val="24"/>
        </w:rPr>
        <w:t>–</w:t>
      </w:r>
      <w:r w:rsidRPr="00360CD8">
        <w:rPr>
          <w:szCs w:val="24"/>
        </w:rPr>
        <w:tab/>
      </w:r>
      <w:r w:rsidRPr="00360CD8">
        <w:rPr>
          <w:noProof/>
          <w:szCs w:val="24"/>
        </w:rPr>
        <w:t>vu l'article 55 de son règlement,</w:t>
      </w:r>
    </w:p>
    <w:p w:rsidR="002022AB" w:rsidRPr="00360CD8" w:rsidRDefault="002022AB" w:rsidP="00075179">
      <w:pPr>
        <w:pStyle w:val="Normal12Hanging"/>
        <w:widowControl/>
        <w:rPr>
          <w:szCs w:val="24"/>
        </w:rPr>
      </w:pPr>
      <w:r w:rsidRPr="00360CD8">
        <w:rPr>
          <w:szCs w:val="24"/>
        </w:rPr>
        <w:t>–</w:t>
      </w:r>
      <w:r w:rsidRPr="00360CD8">
        <w:rPr>
          <w:szCs w:val="24"/>
        </w:rPr>
        <w:tab/>
        <w:t>vu le rapport de la commission de l'industrie, de la recherche et de l'énergie (A7-0063/2014),</w:t>
      </w:r>
    </w:p>
    <w:p w:rsidR="002022AB" w:rsidRPr="00360CD8" w:rsidRDefault="002022AB" w:rsidP="00075179">
      <w:pPr>
        <w:pStyle w:val="Normal12Hanging"/>
        <w:widowControl/>
        <w:rPr>
          <w:szCs w:val="24"/>
        </w:rPr>
      </w:pPr>
      <w:r w:rsidRPr="00360CD8">
        <w:rPr>
          <w:szCs w:val="24"/>
        </w:rPr>
        <w:t>1.</w:t>
      </w:r>
      <w:r w:rsidRPr="00360CD8">
        <w:rPr>
          <w:szCs w:val="24"/>
        </w:rPr>
        <w:tab/>
      </w:r>
      <w:r w:rsidRPr="00360CD8">
        <w:rPr>
          <w:noProof/>
          <w:szCs w:val="24"/>
        </w:rPr>
        <w:t>arrête la position en première lecture figurant ci-après;</w:t>
      </w:r>
    </w:p>
    <w:p w:rsidR="002022AB" w:rsidRPr="00360CD8" w:rsidRDefault="002022AB" w:rsidP="00075179">
      <w:pPr>
        <w:pStyle w:val="Normal12Hanging"/>
        <w:widowControl/>
        <w:rPr>
          <w:szCs w:val="24"/>
        </w:rPr>
      </w:pPr>
      <w:r w:rsidRPr="00360CD8">
        <w:rPr>
          <w:szCs w:val="24"/>
        </w:rPr>
        <w:t>2.</w:t>
      </w:r>
      <w:r w:rsidRPr="00360CD8">
        <w:rPr>
          <w:szCs w:val="24"/>
        </w:rPr>
        <w:tab/>
      </w:r>
      <w:r w:rsidRPr="00360CD8">
        <w:rPr>
          <w:noProof/>
          <w:szCs w:val="24"/>
        </w:rPr>
        <w:t>demande à la Commission de le saisir à nouveau, si elle entend modifier de manière substantielle sa proposition ou la remplacer par un autre texte;</w:t>
      </w:r>
    </w:p>
    <w:p w:rsidR="002022AB" w:rsidRPr="00360CD8" w:rsidRDefault="002022AB" w:rsidP="00075179">
      <w:pPr>
        <w:pStyle w:val="Normal12Hanging"/>
        <w:widowControl/>
        <w:rPr>
          <w:szCs w:val="24"/>
        </w:rPr>
      </w:pPr>
      <w:r w:rsidRPr="00360CD8">
        <w:rPr>
          <w:szCs w:val="24"/>
        </w:rPr>
        <w:t>3.</w:t>
      </w:r>
      <w:r w:rsidRPr="00360CD8">
        <w:rPr>
          <w:szCs w:val="24"/>
        </w:rPr>
        <w:tab/>
      </w:r>
      <w:r w:rsidRPr="00360CD8">
        <w:rPr>
          <w:noProof/>
          <w:szCs w:val="24"/>
        </w:rPr>
        <w:t>charge son Président de transmettre la position du Parlement au Conseil et à la Commission ainsi qu'aux parlements nationaux.</w:t>
      </w:r>
    </w:p>
    <w:p w:rsidR="002022AB" w:rsidRPr="00C617B0" w:rsidRDefault="002022AB" w:rsidP="00075179">
      <w:pPr>
        <w:spacing w:after="240"/>
        <w:rPr>
          <w:b/>
        </w:rPr>
      </w:pPr>
      <w:r>
        <w:rPr>
          <w:szCs w:val="24"/>
        </w:rPr>
        <w:br w:type="page"/>
      </w:r>
      <w:r w:rsidRPr="00C617B0">
        <w:rPr>
          <w:b/>
        </w:rPr>
        <w:t>P7_TC1-COD(</w:t>
      </w:r>
      <w:r>
        <w:rPr>
          <w:b/>
        </w:rPr>
        <w:t>2013</w:t>
      </w:r>
      <w:r w:rsidRPr="00C617B0">
        <w:rPr>
          <w:b/>
        </w:rPr>
        <w:t>)</w:t>
      </w:r>
      <w:r>
        <w:rPr>
          <w:b/>
        </w:rPr>
        <w:t>0242</w:t>
      </w:r>
    </w:p>
    <w:p w:rsidR="002022AB" w:rsidRPr="00C63105" w:rsidRDefault="002022AB" w:rsidP="00075179">
      <w:pPr>
        <w:spacing w:after="240"/>
        <w:rPr>
          <w:b/>
          <w:bCs/>
          <w:szCs w:val="24"/>
          <w:lang w:eastAsia="en-US"/>
        </w:rPr>
      </w:pPr>
      <w:r w:rsidRPr="00C92B87">
        <w:rPr>
          <w:b/>
        </w:rPr>
        <w:t xml:space="preserve">Position du Parlement européen arrêtée en première lecture le </w:t>
      </w:r>
      <w:r>
        <w:rPr>
          <w:b/>
        </w:rPr>
        <w:t xml:space="preserve">15 </w:t>
      </w:r>
      <w:r w:rsidRPr="00C63105">
        <w:rPr>
          <w:b/>
        </w:rPr>
        <w:t>avril</w:t>
      </w:r>
      <w:r w:rsidRPr="008C1BD9">
        <w:rPr>
          <w:b/>
        </w:rPr>
        <w:t xml:space="preserve"> 2014 en vue de l’adoption de la décision n° …/2014/UE du Parlement européen et du Conseil</w:t>
      </w:r>
      <w:r w:rsidRPr="00C92B87">
        <w:rPr>
          <w:b/>
        </w:rPr>
        <w:t xml:space="preserve"> </w:t>
      </w:r>
      <w:r w:rsidRPr="00C63105">
        <w:rPr>
          <w:b/>
          <w:szCs w:val="24"/>
          <w:lang w:eastAsia="en-US"/>
        </w:rPr>
        <w:t>relative à la participation de l'Union à un programme européen d'innovation et de recherche en métrologie (EMPIR) entrepris conjointement par plusieurs États membres</w:t>
      </w:r>
    </w:p>
    <w:p w:rsidR="002022AB" w:rsidRPr="00C63105" w:rsidRDefault="002022AB" w:rsidP="00075179">
      <w:pPr>
        <w:autoSpaceDE w:val="0"/>
        <w:autoSpaceDN w:val="0"/>
        <w:adjustRightInd w:val="0"/>
        <w:spacing w:before="360" w:after="360" w:line="360" w:lineRule="auto"/>
        <w:jc w:val="center"/>
        <w:rPr>
          <w:b/>
          <w:bCs/>
          <w:szCs w:val="24"/>
          <w:lang w:eastAsia="en-US"/>
        </w:rPr>
      </w:pPr>
      <w:r w:rsidRPr="00C63105">
        <w:rPr>
          <w:b/>
          <w:szCs w:val="24"/>
          <w:lang w:eastAsia="en-US"/>
        </w:rPr>
        <w:t>(Texte présentant de l'intérêt pour l'EEE)</w:t>
      </w:r>
    </w:p>
    <w:p w:rsidR="002022AB" w:rsidRPr="00C63105" w:rsidRDefault="002022AB" w:rsidP="00075179">
      <w:pPr>
        <w:autoSpaceDE w:val="0"/>
        <w:autoSpaceDN w:val="0"/>
        <w:adjustRightInd w:val="0"/>
        <w:spacing w:before="600" w:after="120" w:line="360" w:lineRule="auto"/>
        <w:rPr>
          <w:szCs w:val="24"/>
          <w:lang w:eastAsia="en-US"/>
        </w:rPr>
      </w:pPr>
      <w:r w:rsidRPr="00C63105">
        <w:rPr>
          <w:szCs w:val="24"/>
          <w:lang w:eastAsia="en-US"/>
        </w:rPr>
        <w:t>LE PARLEMENT EUROPÉEN ET LE CONSEIL DE L'UNION EUROPÉENNE,</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vu le traité sur le fonctionnement de l'Union européenne, et notamment son article 185 et son article 188, deuxième alinéa,</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vu la proposition de la Commission européenne,</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après transmission du projet d'acte législatif aux parlements nationaux,</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vu l'avis du Comité économique et social européen</w:t>
      </w:r>
      <w:r w:rsidRPr="00C63105">
        <w:rPr>
          <w:b/>
          <w:szCs w:val="24"/>
          <w:vertAlign w:val="superscript"/>
          <w:lang w:eastAsia="en-US"/>
        </w:rPr>
        <w:footnoteReference w:id="37"/>
      </w:r>
      <w:r w:rsidRPr="00C63105">
        <w:rPr>
          <w:szCs w:val="24"/>
          <w:lang w:eastAsia="en-US"/>
        </w:rPr>
        <w:t xml:space="preserve">, </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statuant conformément à la procédure législative ordinaire</w:t>
      </w:r>
      <w:r w:rsidRPr="00C63105">
        <w:rPr>
          <w:b/>
          <w:szCs w:val="24"/>
          <w:vertAlign w:val="superscript"/>
          <w:lang w:eastAsia="en-US"/>
        </w:rPr>
        <w:footnoteReference w:id="38"/>
      </w:r>
      <w:r w:rsidRPr="00C63105">
        <w:rPr>
          <w:szCs w:val="24"/>
          <w:lang w:eastAsia="en-US"/>
        </w:rPr>
        <w:t>,</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br w:type="page"/>
        <w:t>considérant ce qui suit:</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Dans sa communication du 3 mars 2010 intitulée "Europe 2020 - Une stratégie pour une croissance intelligente, durable et inclusive" (ci-après dénommée "stratégie Europe 2020"), la Commission a souligné la nécessité de mettre en place des conditions favorables à l'investissement dans les domaines de la connaissance et de l'innovation de manière à atteindre l'objectif d'une croissance intelligente, durable et inclusive dans l'Union. Tant le Parlement européen que le Conseil ont approuvé cette stratégie.</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Le règlement (UE) nº </w:t>
      </w:r>
      <w:r w:rsidRPr="00C63105">
        <w:rPr>
          <w:b/>
          <w:i/>
          <w:color w:val="000000"/>
          <w:szCs w:val="24"/>
          <w:lang w:eastAsia="en-US"/>
        </w:rPr>
        <w:t>1291</w:t>
      </w:r>
      <w:r w:rsidRPr="00C63105">
        <w:rPr>
          <w:szCs w:val="24"/>
          <w:lang w:eastAsia="en-US"/>
        </w:rPr>
        <w:t>/2013 du Parlement européen et du Conseil</w:t>
      </w:r>
      <w:r w:rsidRPr="00C63105">
        <w:rPr>
          <w:b/>
          <w:bCs/>
          <w:szCs w:val="24"/>
          <w:vertAlign w:val="superscript"/>
          <w:lang w:eastAsia="en-US"/>
        </w:rPr>
        <w:footnoteReference w:id="39"/>
      </w:r>
      <w:r w:rsidRPr="00C63105">
        <w:rPr>
          <w:szCs w:val="24"/>
          <w:lang w:eastAsia="en-US"/>
        </w:rPr>
        <w:t xml:space="preserve"> a institué le programme-cadre pour la recherche et l'innovation "Horizon 2020" (2014-2020) (ci-après dénommé "Horizon 2020"). Horizon 2020 vise à obtenir un impact plus important sur la recherche et l'innovation en contribuant au renforcement des partenariats public-public, y compris par la participation de l'Union aux programmes entrepris par plusieurs États membres conformément à l'article 185 du traité sur le fonctionnement de l'Union européenne.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r>
      <w:r w:rsidRPr="00C63105">
        <w:rPr>
          <w:b/>
          <w:i/>
          <w:szCs w:val="24"/>
          <w:lang w:eastAsia="en-US"/>
        </w:rPr>
        <w:t>(3)</w:t>
      </w:r>
      <w:r w:rsidRPr="00C63105">
        <w:rPr>
          <w:szCs w:val="24"/>
          <w:lang w:eastAsia="en-US"/>
        </w:rPr>
        <w:tab/>
      </w:r>
      <w:r w:rsidRPr="00C63105">
        <w:rPr>
          <w:b/>
          <w:i/>
          <w:color w:val="000000"/>
          <w:szCs w:val="24"/>
          <w:lang w:eastAsia="en-US"/>
        </w:rPr>
        <w:t>Les partenariats public-public devraient viser à créer des synergies plus étroites, à améliorer la coordination et à éviter les doubles emplois avec les programmes de recherche de l'Union, ainsi qu'avec les programmes de recherche internationaux, nationaux et régionaux, et ils devraient respecter pleinement les principes généraux d'Horizon 2020, en particulier ceux relatifs à l'ouverture et à la transparence. En outre, il convient d'assurer le libre accès aux publications scientifiques.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(4)</w:t>
      </w:r>
      <w:r w:rsidRPr="00C63105">
        <w:rPr>
          <w:szCs w:val="24"/>
          <w:lang w:eastAsia="en-US"/>
        </w:rPr>
        <w:tab/>
        <w:t>Par la décision n° 912/2009/CE du Parlement européen et du Conseil</w:t>
      </w:r>
      <w:r w:rsidRPr="00C63105">
        <w:rPr>
          <w:b/>
          <w:bCs/>
          <w:szCs w:val="24"/>
          <w:vertAlign w:val="superscript"/>
          <w:lang w:eastAsia="en-US"/>
        </w:rPr>
        <w:footnoteReference w:id="40"/>
      </w:r>
      <w:r w:rsidRPr="00C63105">
        <w:rPr>
          <w:szCs w:val="24"/>
          <w:lang w:eastAsia="en-US"/>
        </w:rPr>
        <w:t>, la Communauté a décidé d'apporter au programme européen de recherche en métrologie (EMRP) une contribution financière équivalente à celle des États participants, mais n'excédant pas 200 000 000 EUR</w:t>
      </w:r>
      <w:r w:rsidRPr="00C63105" w:rsidDel="00764C5D">
        <w:rPr>
          <w:szCs w:val="24"/>
          <w:lang w:eastAsia="en-US"/>
        </w:rPr>
        <w:t xml:space="preserve"> </w:t>
      </w:r>
      <w:r w:rsidRPr="00C63105">
        <w:rPr>
          <w:szCs w:val="24"/>
          <w:lang w:eastAsia="en-US"/>
        </w:rPr>
        <w:t>, pour la durée du septième programme-cadre de la Communauté européenne pour des actions de recherche, de développement technologique et de démonstration (2007-2013) établi par la décision n° 1982/2006/CE du Parlement européen et du Conseil</w:t>
      </w:r>
      <w:r w:rsidRPr="00C63105">
        <w:rPr>
          <w:b/>
          <w:bCs/>
          <w:szCs w:val="24"/>
          <w:vertAlign w:val="superscript"/>
          <w:lang w:eastAsia="en-US"/>
        </w:rPr>
        <w:footnoteReference w:id="41"/>
      </w:r>
      <w:r w:rsidRPr="00C63105">
        <w:rPr>
          <w:szCs w:val="24"/>
          <w:lang w:eastAsia="en-US"/>
        </w:rPr>
        <w:t xml:space="preserve">.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(5)</w:t>
      </w:r>
      <w:r w:rsidRPr="00C63105">
        <w:rPr>
          <w:szCs w:val="24"/>
          <w:lang w:eastAsia="en-US"/>
        </w:rPr>
        <w:tab/>
        <w:t>En avril 2012, la Commission a transmis au Parlement européen et au Conseil un rapport sur l'évaluation intermédiaire du programme européen de recherche en métrologie (EMRP). Cette évaluation intermédiaire avait été réalisée par un groupe d'experts, trois ans après le début du programme. De l'avis général de ce groupe d'experts, l'EMRP est un programme européen conjoint de recherche bien géré, qui a déjà atteint un niveau relativement élevé d'intégration scientifique, administrative et financière. Le groupe a cependant constaté que l'exploitation industrielle était faible, que l'ouverture à l'excellence scientifique en dehors des instituts de métrologie était limitée et que le renforcement des capacités était insuffisant. Il a également estimé que la mise en œuvre du programme EMRP permettait l'établissement d'un espace européen de la recherche en métrologie ouvert à un plus grand nombre de participants.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(6)</w:t>
      </w:r>
      <w:r w:rsidRPr="00C63105">
        <w:rPr>
          <w:szCs w:val="24"/>
          <w:lang w:eastAsia="en-US"/>
        </w:rPr>
        <w:tab/>
        <w:t xml:space="preserve">En vertu de la décision </w:t>
      </w:r>
      <w:r w:rsidRPr="00C63105">
        <w:rPr>
          <w:color w:val="000000"/>
          <w:szCs w:val="24"/>
          <w:lang w:eastAsia="en-US"/>
        </w:rPr>
        <w:t>▌</w:t>
      </w:r>
      <w:r w:rsidRPr="00C63105">
        <w:rPr>
          <w:szCs w:val="24"/>
          <w:lang w:eastAsia="en-US"/>
        </w:rPr>
        <w:t>2013</w:t>
      </w:r>
      <w:r w:rsidRPr="00C63105">
        <w:rPr>
          <w:b/>
          <w:i/>
          <w:color w:val="000000"/>
          <w:szCs w:val="24"/>
          <w:lang w:eastAsia="en-US"/>
        </w:rPr>
        <w:t>/743</w:t>
      </w:r>
      <w:r w:rsidRPr="00C63105">
        <w:rPr>
          <w:szCs w:val="24"/>
          <w:lang w:eastAsia="en-US"/>
        </w:rPr>
        <w:t>/UE du Conseil</w:t>
      </w:r>
      <w:r w:rsidRPr="00C63105">
        <w:rPr>
          <w:b/>
          <w:bCs/>
          <w:szCs w:val="24"/>
          <w:vertAlign w:val="superscript"/>
          <w:lang w:eastAsia="en-US"/>
        </w:rPr>
        <w:footnoteReference w:id="42"/>
      </w:r>
      <w:r w:rsidRPr="00C63105">
        <w:rPr>
          <w:szCs w:val="24"/>
          <w:lang w:eastAsia="en-US"/>
        </w:rPr>
        <w:t>, l'EMRP peut continuer à bénéficier d'un soutien.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(7)</w:t>
      </w:r>
      <w:r w:rsidRPr="00C63105">
        <w:rPr>
          <w:szCs w:val="24"/>
          <w:lang w:eastAsia="en-US"/>
        </w:rPr>
        <w:tab/>
        <w:t xml:space="preserve">Le programme européen d'innovation et de recherche en métrologie (EMPIR), aligné sur la stratégie Europe 2020 et ses initiatives phares, notamment les initiatives "Une Union de l'innovation", "Une stratégie numérique pour l'Europe", "Une Europe efficace dans l'utilisation des ressources" et "Une politique industrielle à l'ère de la mondialisation", sera un programme plus ambitieux et inclusif, mis en œuvre sur une période de dix ans (2014-2024) par 28 États participants. Parmi les améliorations apportées par rapport au programme précédent, EMPIR comprendra des activités portant sur l'innovation et l'exploitation industrielle, sur la recherche à </w:t>
      </w:r>
      <w:r w:rsidRPr="00C63105">
        <w:rPr>
          <w:b/>
          <w:i/>
          <w:szCs w:val="24"/>
          <w:lang w:eastAsia="en-US"/>
        </w:rPr>
        <w:t>des fins de normes, de normalisation</w:t>
      </w:r>
      <w:r w:rsidRPr="00C63105">
        <w:rPr>
          <w:szCs w:val="24"/>
          <w:lang w:eastAsia="en-US"/>
        </w:rPr>
        <w:t xml:space="preserve"> et de </w:t>
      </w:r>
      <w:r w:rsidRPr="00C63105">
        <w:rPr>
          <w:b/>
          <w:i/>
          <w:szCs w:val="24"/>
          <w:lang w:eastAsia="en-US"/>
        </w:rPr>
        <w:t>réglementation</w:t>
      </w:r>
      <w:r w:rsidRPr="00C63105">
        <w:rPr>
          <w:szCs w:val="24"/>
          <w:lang w:eastAsia="en-US"/>
        </w:rPr>
        <w:t xml:space="preserve"> et sur le renforcement des capacités.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(8)</w:t>
      </w:r>
      <w:r w:rsidRPr="00C63105">
        <w:rPr>
          <w:szCs w:val="24"/>
          <w:lang w:eastAsia="en-US"/>
        </w:rPr>
        <w:tab/>
        <w:t xml:space="preserve">Les États participants ont l'intention de contribuer à la mise en œuvre d'EMPIR durant la période couverte par celui-ci, c'est-à-dire 2014-2024. </w:t>
      </w:r>
      <w:r w:rsidRPr="00C63105">
        <w:rPr>
          <w:b/>
          <w:i/>
          <w:color w:val="000000"/>
          <w:szCs w:val="24"/>
          <w:lang w:eastAsia="en-US"/>
        </w:rPr>
        <w:t xml:space="preserve">Afin de tenir compte de la durée d'Horizon 2020, les appels à propositions au titre d'EMPIR devraient être lancés d'ici au 31 décembre 2020 au plus tard. Dans des cas dûment justifiés, ils peuvent être lancés d'ici au 31 décembre 2021 au plus tard.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r>
      <w:r w:rsidRPr="00C63105">
        <w:rPr>
          <w:b/>
          <w:i/>
          <w:color w:val="000000"/>
          <w:szCs w:val="24"/>
          <w:lang w:eastAsia="en-US"/>
        </w:rPr>
        <w:t>(9)</w:t>
      </w:r>
      <w:r w:rsidRPr="00C63105">
        <w:rPr>
          <w:szCs w:val="24"/>
          <w:lang w:eastAsia="en-US"/>
        </w:rPr>
        <w:tab/>
      </w:r>
      <w:r w:rsidRPr="00C63105">
        <w:rPr>
          <w:b/>
          <w:i/>
          <w:color w:val="000000"/>
          <w:szCs w:val="24"/>
          <w:lang w:eastAsia="en-US"/>
        </w:rPr>
        <w:t>Les activités menées au titre d'EMPIR devraient être conformes aux objectifs et aux priorités en matière de recherche et d'innovation d'Horizon 2020, ainsi qu'aux conditions et principes généraux prévus à l'article 26 du règlement (UE) n° 1291/2013.</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(10)</w:t>
      </w:r>
      <w:r w:rsidRPr="00C63105">
        <w:rPr>
          <w:szCs w:val="24"/>
          <w:lang w:eastAsia="en-US"/>
        </w:rPr>
        <w:tab/>
        <w:t>Un plafond devrait être fixé pour la participation financière de l'Union à EMPIR, pour la durée d'Horizon 2020. Dans la limite de ce plafond, la contribution de l'Union devrait être égale à celle des États participant à EMPIR afin d'obtenir un effet de levier important et d'assurer une intégration plus poussée des programmes des États participants.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(11)</w:t>
      </w:r>
      <w:r w:rsidRPr="00C63105">
        <w:rPr>
          <w:szCs w:val="24"/>
          <w:lang w:eastAsia="en-US"/>
        </w:rPr>
        <w:tab/>
        <w:t xml:space="preserve">Conformément aux objectifs définis par le règlement (UE) n° </w:t>
      </w:r>
      <w:r w:rsidRPr="00C63105">
        <w:rPr>
          <w:b/>
          <w:i/>
          <w:szCs w:val="24"/>
          <w:lang w:eastAsia="en-US"/>
        </w:rPr>
        <w:t>1291</w:t>
      </w:r>
      <w:r w:rsidRPr="00C63105">
        <w:rPr>
          <w:szCs w:val="24"/>
          <w:lang w:eastAsia="en-US"/>
        </w:rPr>
        <w:t>/2013, tout État membre et tout pays associé à Horizon 2020 devraient avoir le droit de participer à 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(12)</w:t>
      </w:r>
      <w:r w:rsidRPr="00C63105">
        <w:rPr>
          <w:szCs w:val="24"/>
          <w:lang w:eastAsia="en-US"/>
        </w:rPr>
        <w:tab/>
        <w:t xml:space="preserve">La contribution financière de l'Union devrait être subordonnée à des engagements formels de la part des États participants de contribuer à la mise en œuvre d'EMPIR et à l'exécution de ces engagements. Les contributions des États participant à EMPIR devraient inclure une contribution aux frais administratifs, dans la limite d'un plafond de 5 % du budget d'EMPIR. Les États participants devraient s'engager à augmenter, si nécessaire, leur contribution à EMPIR en y ajoutant une capacité de réserve de financement équivalente à 50 % de leur engagement, pour veiller à être en mesure de financer leurs entités nationales, les instituts nationaux de métrologie (INM) et les instituts désignés (ID), participant aux projets sélectionnés.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(13)</w:t>
      </w:r>
      <w:r w:rsidRPr="00C63105">
        <w:rPr>
          <w:szCs w:val="24"/>
          <w:lang w:eastAsia="en-US"/>
        </w:rPr>
        <w:tab/>
        <w:t xml:space="preserve">La mise en œuvre conjointe d'EMPIR exige une structure d'exécution. Les États participants sont convenus de la structure d'exécution de l'EMRP et ont créé en 2007 EURAMET e.V (ci-après dénommé "EURAMET"), l'organisation régionale de métrologie pour l'Europe, constituée sous la forme d'une association sans but lucratif de droit allemand. EURAMET a également des fonctions et des obligations relatives à une plus grande harmonisation de la métrologie à l'échelle européenne et mondiale. Tous les INM d'Europe peuvent devenir membres d'EURAMET e.V. et les ID peuvent obtenir le statut d'associé. Pour être membre d'EURAMET, il ne faut pas nécessairement qu'il existe des programmes nationaux de recherche en métrologie. Selon le rapport sur l'évaluation intermédiaire de l'EMRP, la structure de gouvernance d'EURAMET a fait la preuve de son efficacité et de sa grande qualité pour la mise en œuvre de l'EMRP; c'est pourquoi il convient également d'utiliser EURAMET pour la mise en œuvre d'EMPIR. EURAMET devrait, dès lors, être le bénéficiaire de la contribution financière de l'Union.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(14)</w:t>
      </w:r>
      <w:r w:rsidRPr="00C63105">
        <w:rPr>
          <w:szCs w:val="24"/>
          <w:lang w:eastAsia="en-US"/>
        </w:rPr>
        <w:tab/>
        <w:t xml:space="preserve">Afin d'atteindre les objectifs d'EMPIR, EURAMET devrait apporter un soutien financier sous la forme principalement de subventions versées aux participants à des actions sélectionnées par EURAMET. Ces actions devraient être sélectionnées à la suite d'appels à propositions sous la responsabilité d'EURAMET. Pour les projets relevant d'EMPIR, la liste de classement devrait être contraignante en ce qui concerne la sélection des propositions et l'attribution des fonds provenant de la contribution financière de l'Union et des contributions des États participants.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(15)</w:t>
      </w:r>
      <w:r w:rsidRPr="00C63105">
        <w:rPr>
          <w:szCs w:val="24"/>
          <w:lang w:eastAsia="en-US"/>
        </w:rPr>
        <w:tab/>
        <w:t>La contribution financière de l'Union devrait être gérée conformément au principe de bonne gestion financière et aux règles pertinentes en matière de gestion indirecte prévues dans le règlement (UE, Euratom) n° 966/2012 du Parlement européen et du Conseil</w:t>
      </w:r>
      <w:r w:rsidRPr="00C63105">
        <w:rPr>
          <w:b/>
          <w:bCs/>
          <w:szCs w:val="24"/>
          <w:vertAlign w:val="superscript"/>
          <w:lang w:eastAsia="en-US"/>
        </w:rPr>
        <w:footnoteReference w:id="43"/>
      </w:r>
      <w:r w:rsidRPr="00C63105">
        <w:rPr>
          <w:szCs w:val="24"/>
          <w:lang w:eastAsia="en-US"/>
        </w:rPr>
        <w:t xml:space="preserve"> et dans le règlement délégué (UE) n° 1268/2012 de la Commission</w:t>
      </w:r>
      <w:r w:rsidRPr="00C63105">
        <w:rPr>
          <w:b/>
          <w:bCs/>
          <w:szCs w:val="24"/>
          <w:vertAlign w:val="superscript"/>
          <w:lang w:eastAsia="en-US"/>
        </w:rPr>
        <w:footnoteReference w:id="44"/>
      </w:r>
      <w:r w:rsidRPr="00C63105">
        <w:rPr>
          <w:szCs w:val="24"/>
          <w:lang w:eastAsia="en-US"/>
        </w:rPr>
        <w:t>.</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(16)</w:t>
      </w:r>
      <w:r w:rsidRPr="00C63105">
        <w:rPr>
          <w:szCs w:val="24"/>
          <w:lang w:eastAsia="en-US"/>
        </w:rPr>
        <w:tab/>
        <w:t xml:space="preserve">Afin de protéger les intérêts financiers de l'Union, la Commission devrait avoir le droit de réduire la contribution financière de l'Union, de la suspendre ou d'y mettre fin si EMPIR est mis en œuvre de façon inadéquate, partielle ou tardive, ou si les États participants ne contribuent pas ou contribuent partiellement ou tardivement au financement d'EMPIR. Ces droits devraient être prévus dans la convention de délégation à conclure entre l'Union et EURAMET.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b/>
          <w:i/>
          <w:szCs w:val="24"/>
          <w:lang w:eastAsia="en-US"/>
        </w:rPr>
        <w:t>(17)</w:t>
      </w:r>
      <w:r w:rsidRPr="00C63105">
        <w:rPr>
          <w:szCs w:val="24"/>
          <w:lang w:eastAsia="en-US"/>
        </w:rPr>
        <w:tab/>
      </w:r>
      <w:r w:rsidRPr="00C63105">
        <w:rPr>
          <w:b/>
          <w:i/>
          <w:color w:val="000000"/>
          <w:szCs w:val="24"/>
          <w:lang w:eastAsia="en-US"/>
        </w:rPr>
        <w:t>Dans un souci de simplification, il convient de réduire les charges administratives pour toutes les parties. Il convient d’éviter les doubles audits et les exigences disproportionnées en matière de documents et de rapports. Lorsque des audits sont réalisés, il y a lieu de tenir compte des particularités des programmes nationaux, selon le cas.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(18)</w:t>
      </w:r>
      <w:r w:rsidRPr="00C63105">
        <w:rPr>
          <w:szCs w:val="24"/>
          <w:lang w:eastAsia="en-US"/>
        </w:rPr>
        <w:tab/>
        <w:t xml:space="preserve">Des audits des bénéficiaires de fonds de l'Union octroyés conformément à la présente décision devraient assurer un allégement de la charge administrative, conformément au règlement (UE) n° </w:t>
      </w:r>
      <w:r w:rsidRPr="00C63105">
        <w:rPr>
          <w:b/>
          <w:i/>
          <w:szCs w:val="24"/>
          <w:lang w:eastAsia="en-US"/>
        </w:rPr>
        <w:t>1291/2013</w:t>
      </w:r>
      <w:r w:rsidRPr="00C63105">
        <w:rPr>
          <w:szCs w:val="24"/>
          <w:lang w:eastAsia="en-US"/>
        </w:rPr>
        <w:t xml:space="preserve">.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(19)</w:t>
      </w:r>
      <w:r w:rsidRPr="00C63105">
        <w:rPr>
          <w:szCs w:val="24"/>
          <w:lang w:eastAsia="en-US"/>
        </w:rPr>
        <w:tab/>
        <w:t xml:space="preserve">La participation aux actions indirectes financées par EMPIR est soumise au règlement (UE) n° </w:t>
      </w:r>
      <w:r w:rsidRPr="00C63105">
        <w:rPr>
          <w:b/>
          <w:i/>
          <w:szCs w:val="24"/>
          <w:lang w:eastAsia="en-US"/>
        </w:rPr>
        <w:t>1290</w:t>
      </w:r>
      <w:r w:rsidRPr="00C63105">
        <w:rPr>
          <w:szCs w:val="24"/>
          <w:lang w:eastAsia="en-US"/>
        </w:rPr>
        <w:t>/2013 du Parlement européen et du Conseil</w:t>
      </w:r>
      <w:r w:rsidRPr="00C63105">
        <w:rPr>
          <w:b/>
          <w:bCs/>
          <w:szCs w:val="24"/>
          <w:vertAlign w:val="superscript"/>
          <w:lang w:eastAsia="en-US"/>
        </w:rPr>
        <w:footnoteReference w:id="45"/>
      </w:r>
      <w:r w:rsidRPr="00C63105">
        <w:rPr>
          <w:szCs w:val="24"/>
          <w:lang w:eastAsia="en-US"/>
        </w:rPr>
        <w:t>. Toutefois, en raison des besoins opérationnels spécifiques d'EMPIR, il est nécessaire de prévoir des dérogations à ce règlement conformément à l'article 1</w:t>
      </w:r>
      <w:r w:rsidRPr="00C63105">
        <w:rPr>
          <w:szCs w:val="24"/>
          <w:vertAlign w:val="superscript"/>
          <w:lang w:eastAsia="en-US"/>
        </w:rPr>
        <w:t>er</w:t>
      </w:r>
      <w:r w:rsidRPr="00C63105">
        <w:rPr>
          <w:szCs w:val="24"/>
          <w:lang w:eastAsia="en-US"/>
        </w:rPr>
        <w:t>, paragraphe 3, dudit règlement▐.</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(20)</w:t>
      </w:r>
      <w:r w:rsidRPr="00C63105">
        <w:rPr>
          <w:szCs w:val="24"/>
          <w:lang w:eastAsia="en-US"/>
        </w:rPr>
        <w:tab/>
        <w:t xml:space="preserve">La contribution des États participants représente principalement le financement institutionnel des INM et des ID participant aux projets sélectionnés. Cette contribution devrait également inclure une contribution en espèces aux frais administratifs d'EMPIR. Une partie de la contribution de l'Union devrait être allouée à des entités autres que les INM et les ID participant aux projets sélectionnés. Le calcul de la contribution financière de l'Union pour les INM et les ID participant à des projets EMPIR devrait garantir que la contribution de l'Union à EMPIR n'excède pas celle des États participants. Considérant que le financement institutionnel des INM et des ID fourni par les États participants correspond aux frais généraux affectés aux projets EMPIR et non remboursés par la contribution de l'Union, le taux forfaitaire pour le financement des coûts indirects éligibles des INM et des ID devrait être adapté par rapport au taux forfaitaire établi dans le règlement (UE) n° </w:t>
      </w:r>
      <w:r w:rsidRPr="00C63105">
        <w:rPr>
          <w:b/>
          <w:i/>
          <w:szCs w:val="24"/>
          <w:lang w:eastAsia="en-US"/>
        </w:rPr>
        <w:t>1290/2013</w:t>
      </w:r>
      <w:r w:rsidRPr="00C63105">
        <w:rPr>
          <w:szCs w:val="24"/>
          <w:lang w:eastAsia="en-US"/>
        </w:rPr>
        <w:t>. Le taux forfaitaire pour le financement des coûts indirects éligibles des INM et des ID devrait être déterminé sur la base de la totalité des coûts indirects déclarés éligibles par les INM et les ID participant à des projets EMRP, qui sont stables et constituent une approximation fiable des coûts indirects que devront supporter les INM et les ID participant à des projets EMPIR. Étant donné que ces coûts indirects s'élèvent à 140 % du total des coûts directs éligibles des INM et des ID, à l'exception des coûts directs éligibles de sous-traitance et des contributions en nature mises gracieusement à disposition et non utilisées dans les locaux des bénéficiaires, le taux forfaitaire pour le financement des coûts indirects des INM et des ID devrait</w:t>
      </w:r>
      <w:r w:rsidRPr="00C63105">
        <w:rPr>
          <w:color w:val="000000"/>
          <w:szCs w:val="24"/>
          <w:lang w:eastAsia="en-US"/>
        </w:rPr>
        <w:t>,</w:t>
      </w:r>
      <w:r w:rsidRPr="00C63105">
        <w:rPr>
          <w:szCs w:val="24"/>
          <w:lang w:eastAsia="en-US"/>
        </w:rPr>
        <w:t xml:space="preserve"> comme le prévoit le règlement (UE) n° </w:t>
      </w:r>
      <w:r w:rsidRPr="00C63105">
        <w:rPr>
          <w:b/>
          <w:i/>
          <w:szCs w:val="24"/>
          <w:lang w:eastAsia="en-US"/>
        </w:rPr>
        <w:t>1290</w:t>
      </w:r>
      <w:r w:rsidRPr="00C63105">
        <w:rPr>
          <w:szCs w:val="24"/>
          <w:lang w:eastAsia="en-US"/>
        </w:rPr>
        <w:t xml:space="preserve">/2013, être ramené de </w:t>
      </w:r>
      <w:r w:rsidRPr="00C63105">
        <w:rPr>
          <w:b/>
          <w:i/>
          <w:szCs w:val="24"/>
          <w:lang w:eastAsia="en-US"/>
        </w:rPr>
        <w:t>25 %</w:t>
      </w:r>
      <w:r w:rsidRPr="00C63105">
        <w:rPr>
          <w:color w:val="000000"/>
          <w:szCs w:val="24"/>
          <w:lang w:eastAsia="en-US"/>
        </w:rPr>
        <w:t>▐</w:t>
      </w:r>
      <w:r w:rsidRPr="00C63105">
        <w:rPr>
          <w:szCs w:val="24"/>
          <w:lang w:eastAsia="en-US"/>
        </w:rPr>
        <w:t>à 5 %. Il convient donc de prévoir une dérogation à l'article </w:t>
      </w:r>
      <w:r w:rsidRPr="00C63105">
        <w:rPr>
          <w:b/>
          <w:i/>
          <w:szCs w:val="24"/>
          <w:lang w:eastAsia="en-US"/>
        </w:rPr>
        <w:t>29</w:t>
      </w:r>
      <w:r w:rsidRPr="00C63105">
        <w:rPr>
          <w:szCs w:val="24"/>
          <w:lang w:eastAsia="en-US"/>
        </w:rPr>
        <w:t xml:space="preserve"> dudit règlement pour les INM et les ID. Les autres entités participant à des projets EMPIR devraient être financées conformément audit règlement.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r>
      <w:r w:rsidRPr="00C63105">
        <w:rPr>
          <w:b/>
          <w:i/>
          <w:color w:val="000000"/>
          <w:szCs w:val="24"/>
          <w:lang w:eastAsia="en-US"/>
        </w:rPr>
        <w:t>(21)</w:t>
      </w:r>
      <w:r w:rsidRPr="00C63105">
        <w:rPr>
          <w:szCs w:val="24"/>
          <w:lang w:eastAsia="en-US"/>
        </w:rPr>
        <w:tab/>
      </w:r>
      <w:r w:rsidRPr="00C63105">
        <w:rPr>
          <w:b/>
          <w:i/>
          <w:color w:val="000000"/>
          <w:szCs w:val="24"/>
          <w:lang w:eastAsia="en-US"/>
        </w:rPr>
        <w:t>Il convient également de publier les appels à propositions lancés par EMPIR sur le portail unique des participants ainsi que par d'autres moyens de diffusion électroniques dans le cadre d'Horizon 2020 gérés par la Commission.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(22)</w:t>
      </w:r>
      <w:r w:rsidRPr="00C63105">
        <w:rPr>
          <w:szCs w:val="24"/>
          <w:lang w:eastAsia="en-US"/>
        </w:rPr>
        <w:tab/>
        <w:t>L'adéquation du modèle de financement en ce qui concerne le principe d'équivalence entre les fonds de l'Union et les fonds venus d'ailleurs devrait être réexaminée lors de l'évaluation intermédiaire d'EMPIR.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sidDel="008117A6">
        <w:rPr>
          <w:szCs w:val="24"/>
          <w:lang w:eastAsia="en-US"/>
        </w:rPr>
        <w:t xml:space="preserve"> </w:t>
      </w:r>
      <w:r w:rsidRPr="00C63105">
        <w:rPr>
          <w:szCs w:val="24"/>
          <w:lang w:eastAsia="en-US"/>
        </w:rPr>
        <w:t>(23)</w:t>
      </w:r>
      <w:r w:rsidRPr="00C63105">
        <w:rPr>
          <w:szCs w:val="24"/>
          <w:lang w:eastAsia="en-US"/>
        </w:rPr>
        <w:tab/>
        <w:t>Les intérêts financiers de l'Union devraient être protégés au moyen de mesures proportionnées, tout au long du cycle de la dépense, y compris par la prévention et la détection des irrégularités, ainsi que par des enquêtes en la matière, par le recouvrement des fonds perdus, indûment versés ou mal employés, et, s'il y a lieu, par l'application de sanctions administratives et financières conformément au règlement (UE, Euratom) n° 966/2012.</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(24)</w:t>
      </w:r>
      <w:r w:rsidRPr="00C63105">
        <w:rPr>
          <w:szCs w:val="24"/>
          <w:lang w:eastAsia="en-US"/>
        </w:rPr>
        <w:tab/>
        <w:t xml:space="preserve">La Commission devrait effectuer une évaluation intermédiaire, consistant à apprécier, en particulier, la qualité et l'efficacité d'EMPIR et les progrès accomplis par rapport aux objectifs fixés, procéder à une évaluation finale et établir un rapport sur ces évaluations.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(25)</w:t>
      </w:r>
      <w:r w:rsidRPr="00C63105">
        <w:rPr>
          <w:szCs w:val="24"/>
          <w:lang w:eastAsia="en-US"/>
        </w:rPr>
        <w:tab/>
        <w:t xml:space="preserve">À la demande de la Commission, EURAMET et les États participants devraient fournir toutes les informations que la Commission doit inclure dans les rapports d'évaluation d'EMPIR.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(26)</w:t>
      </w:r>
      <w:r w:rsidRPr="00C63105">
        <w:rPr>
          <w:szCs w:val="24"/>
          <w:lang w:eastAsia="en-US"/>
        </w:rPr>
        <w:tab/>
        <w:t>L'objectif de la présente décision est la participation de l'Union à EMPIR, à savoir soutenir l'offre de solutions de métrologie appropriées, intégrées et adaptées à l'objectif poursuivi et favoriser la création d'un système européen intégré de recherche en métrologie bénéficiant d'une masse critique suffisante et d'un engagement actif au niveau régional, national, européen et international, qui ne peut être atteint de manière suffisante par les États membres à eux seuls. L'ampleur et la complexité des exigences en matière de métrologie nécessitent des investissements qui vont au-delà des budgets de base des INM et de leurs ID dans le domaine de la recherche. L'excellence nécessaire pour mener des travaux de recherche et développement de solutions métrologiques de pointe est disséminée au-delà des frontières nationales et ne peut donc pas être réunie au seul niveau national. Étant donné que l'objectif recherché peut donc être mieux atteint au niveau de l'Union en intégrant les efforts nationaux dans une approche européenne cohérente, en réunissant des programmes nationaux de recherche cloisonnés, en contribuant à définir des stratégies communes en matière de recherche et de financement au-delà des frontières nationales et en parvenant à la masse critique nécessaire d'acteurs et d'investissements, l'Union peut prendre des mesures conformément au principe de subsidiarité consacré à l'article 5 du traité sur l'Union européenne. Conformément au principe de proportionnalité tel qu'énoncé audit article, la présente décision n'excède pas ce qui est nécessaire pour atteindre cet objectif,</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ONT ADOPTÉ LA PRÉSENTE DÉCISION:</w:t>
      </w:r>
    </w:p>
    <w:p w:rsidR="002022AB" w:rsidRPr="00C63105" w:rsidRDefault="002022AB" w:rsidP="00075179">
      <w:pPr>
        <w:autoSpaceDE w:val="0"/>
        <w:autoSpaceDN w:val="0"/>
        <w:adjustRightInd w:val="0"/>
        <w:spacing w:before="120" w:after="120" w:line="360" w:lineRule="auto"/>
        <w:ind w:left="851" w:hanging="851"/>
        <w:jc w:val="center"/>
        <w:rPr>
          <w:szCs w:val="24"/>
          <w:lang w:eastAsia="en-US"/>
        </w:rPr>
      </w:pPr>
      <w:r w:rsidRPr="00C63105">
        <w:rPr>
          <w:szCs w:val="24"/>
          <w:lang w:eastAsia="en-US"/>
        </w:rPr>
        <w:br w:type="page"/>
        <w:t>Article premier</w:t>
      </w:r>
      <w:r w:rsidRPr="00C63105">
        <w:rPr>
          <w:szCs w:val="24"/>
          <w:lang w:eastAsia="en-US"/>
        </w:rPr>
        <w:br/>
        <w:t>Participation au programme européen d'innovation et de recherche en métrologie</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L'Union participe au programme européen d'innovation et de recherche en métrologie (EMPIR) entrepris conjointement par l'Allemagne, l’Autriche, la Belgique, la Bosnie-Herzégovine, la Bulgarie, la Croatie, le Danemark, l'Espagne, l'Estonie, la Finlande, la France, la Grèce, la Hongrie, l'Irlande, l'Italie, la Norvège, les Pays-Bas, la Pologne, le Portugal, la Roumanie, le Royaume-Uni, la Serbie, la Slovaquie, la Slovénie, la Suède, la Suisse, la</w:t>
      </w:r>
      <w:r w:rsidRPr="00C63105">
        <w:rPr>
          <w:szCs w:val="24"/>
          <w:lang w:val="fr-BE" w:eastAsia="en-US"/>
        </w:rPr>
        <w:t> </w:t>
      </w:r>
      <w:r w:rsidRPr="00C63105">
        <w:rPr>
          <w:szCs w:val="24"/>
          <w:lang w:eastAsia="en-US"/>
        </w:rPr>
        <w:t>République tchèque, et la Turquie (ci-après dénommés "États participants"), conformément aux conditions fixées dans la présente décision.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Tout État membre autre que ceux énumérés au paragraphe 1 et tout autre pays associé à Horizon 2020 peuvent participer à EMPIR à condition de remplir la condition fixée à l'article 3, paragraphe 1, point c), de la présente décision. S'il remplit la condition fixée à l'article 3, paragraphe 1, point c), il est considéré comme un État participant aux fins de la présente décision.</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 xml:space="preserve">Article 2 </w:t>
      </w:r>
      <w:r w:rsidRPr="00C63105">
        <w:rPr>
          <w:szCs w:val="24"/>
          <w:lang w:eastAsia="en-US"/>
        </w:rPr>
        <w:br/>
        <w:t>Contribution financière de l'Union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La contribution financière de l'Union, y compris les crédits AELE, à EMPIR s'élève à maximum 300 000 000 EUR. La contribution financière de l'Union est prélevée sur les crédits du budget général de l'Union alloués aux sections concernées du programme spécifique d'exécution d'Horizon 2020, établi par la décision</w:t>
      </w:r>
      <w:r w:rsidRPr="00C63105">
        <w:rPr>
          <w:color w:val="000000"/>
          <w:szCs w:val="24"/>
          <w:lang w:eastAsia="en-US"/>
        </w:rPr>
        <w:t> ▌</w:t>
      </w:r>
      <w:r w:rsidRPr="00C63105">
        <w:rPr>
          <w:szCs w:val="24"/>
          <w:lang w:eastAsia="en-US"/>
        </w:rPr>
        <w:t>2013/</w:t>
      </w:r>
      <w:r w:rsidRPr="00C63105">
        <w:rPr>
          <w:b/>
          <w:i/>
          <w:szCs w:val="24"/>
          <w:lang w:eastAsia="en-US"/>
        </w:rPr>
        <w:t>743</w:t>
      </w:r>
      <w:r w:rsidRPr="00C63105">
        <w:rPr>
          <w:szCs w:val="24"/>
          <w:lang w:eastAsia="en-US"/>
        </w:rPr>
        <w:t>/UE, conformément à l'article 58, paragraphe 1, point c) vi), et aux articles 60 et 61 du règlement (UE, Euratom) n° 966/2012</w:t>
      </w:r>
      <w:r w:rsidRPr="00C63105">
        <w:rPr>
          <w:b/>
          <w:i/>
          <w:szCs w:val="24"/>
          <w:lang w:eastAsia="en-US"/>
        </w:rPr>
        <w:t>, et en particulier sur la section II ("Primauté industrielle") et sur la section III ("Défis de société").</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La contribution financière de l'Union, qui n'excède pas le montant fixé au paragraphe 1, est égale aux contributions des États participants à EMPIR, hormis les contributions des États participants aux frais administratifs excédant 5 % du budget d'EMPIR.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3.</w:t>
      </w:r>
      <w:r w:rsidRPr="00C63105">
        <w:rPr>
          <w:szCs w:val="24"/>
          <w:lang w:eastAsia="en-US"/>
        </w:rPr>
        <w:tab/>
        <w:t>La contribution financière de l'Union n'est pas utilisée pour couvrir les frais administratifs d'EMPIR.</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3</w:t>
      </w:r>
      <w:r w:rsidRPr="00C63105">
        <w:rPr>
          <w:szCs w:val="24"/>
          <w:lang w:eastAsia="en-US"/>
        </w:rPr>
        <w:br/>
        <w:t>Conditions applicables à la contribution financière de l'Union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La contribution financière de l'Union est conditionnée par:</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a)</w:t>
      </w:r>
      <w:r w:rsidRPr="00C63105">
        <w:rPr>
          <w:szCs w:val="24"/>
          <w:lang w:eastAsia="en-US"/>
        </w:rPr>
        <w:tab/>
        <w:t>la démonstration, par les États participants, qu'EMPIR est institué conformément aux annexes I et II;</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b)</w:t>
      </w:r>
      <w:r w:rsidRPr="00C63105">
        <w:rPr>
          <w:szCs w:val="24"/>
          <w:lang w:eastAsia="en-US"/>
        </w:rPr>
        <w:tab/>
        <w:t>la désignation par les États participants, ou par les INM désignés par les États participants, d'EURAMET e.V. (ci après dénommé "EURAMET") en qualité de structure chargée de la mise en œuvre d'EMPIR, ainsi que de la réception, de l'attribution et du suivi de la contribution financière de l'Union;</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c)</w:t>
      </w:r>
      <w:r w:rsidRPr="00C63105">
        <w:rPr>
          <w:szCs w:val="24"/>
          <w:lang w:eastAsia="en-US"/>
        </w:rPr>
        <w:tab/>
        <w:t xml:space="preserve">l'engagement de la part de chaque État participant à contribuer au financement d'EMPIR et à établir une capacité de réserve de financement équivalente à 50 % du montant de l'engagement; </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d)</w:t>
      </w:r>
      <w:r w:rsidRPr="00C63105">
        <w:rPr>
          <w:szCs w:val="24"/>
          <w:lang w:eastAsia="en-US"/>
        </w:rPr>
        <w:tab/>
        <w:t>la démonstration par EURAMET de sa capacité à mettre en œuvre EMPIR, y compris en ce qui concerne la réception, l'attribution et le suivi de la contribution financière de l'Union dans le cadre de la gestion indirecte du budget de l'Union conformément aux articles 58, 60 et 61 du règlement (UE, Euratom) n° 966/2012; et</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e)</w:t>
      </w:r>
      <w:r w:rsidRPr="00C63105">
        <w:rPr>
          <w:szCs w:val="24"/>
          <w:lang w:eastAsia="en-US"/>
        </w:rPr>
        <w:tab/>
        <w:t>la mise en place d'un modèle de gouvernance pour EMPIR conformément à l'annexe III.</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w:t>
      </w:r>
      <w:r w:rsidRPr="00C63105">
        <w:rPr>
          <w:szCs w:val="24"/>
          <w:lang w:eastAsia="en-US"/>
        </w:rPr>
        <w:tab/>
        <w:t xml:space="preserve">Lors de la mise en œuvre d'EMPIR, la contribution financière de l'Union est également subordonnée au respect des conditions suivantes: </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a)</w:t>
      </w:r>
      <w:r w:rsidRPr="00C63105">
        <w:rPr>
          <w:szCs w:val="24"/>
          <w:lang w:eastAsia="en-US"/>
        </w:rPr>
        <w:tab/>
        <w:t>la mise en œuvre par EURAMET des objectifs d'EMPIR énoncés à l'annexe I et des activités définies à l'annexe II conformément aux règles de participation et de diffusion visées à l'article 5;</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b)</w:t>
      </w:r>
      <w:r w:rsidRPr="00C63105">
        <w:rPr>
          <w:szCs w:val="24"/>
          <w:lang w:eastAsia="en-US"/>
        </w:rPr>
        <w:tab/>
        <w:t>le maintien d'un modèle approprié et efficient de gouvernance conformément à l'annexe III;</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c)</w:t>
      </w:r>
      <w:r w:rsidRPr="00C63105">
        <w:rPr>
          <w:szCs w:val="24"/>
          <w:lang w:eastAsia="en-US"/>
        </w:rPr>
        <w:tab/>
        <w:t>le respect par EURAMET des obligations en matière d'établissement de rapports énoncées à l'article 60, paragraphe 5, du règlement (UE, Euratom) n° 966/2012; et</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d)</w:t>
      </w:r>
      <w:r w:rsidRPr="00C63105">
        <w:rPr>
          <w:szCs w:val="24"/>
          <w:lang w:eastAsia="en-US"/>
        </w:rPr>
        <w:tab/>
        <w:t>le respect des engagements visés au paragraphe 1, point c) du présent article.</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4</w:t>
      </w:r>
      <w:r w:rsidRPr="00C63105">
        <w:rPr>
          <w:szCs w:val="24"/>
          <w:lang w:eastAsia="en-US"/>
        </w:rPr>
        <w:br/>
        <w:t xml:space="preserve">Contributions des États participants </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Les contributions des États participants se composent des éléments suivants: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a)</w:t>
      </w:r>
      <w:r w:rsidRPr="00C63105">
        <w:rPr>
          <w:szCs w:val="24"/>
          <w:lang w:eastAsia="en-US"/>
        </w:rPr>
        <w:tab/>
        <w:t xml:space="preserve">contributions par le financement institutionnel des INM et des ID qui participent à des projets d'EMPIR;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b)</w:t>
      </w:r>
      <w:r w:rsidRPr="00C63105">
        <w:rPr>
          <w:szCs w:val="24"/>
          <w:lang w:eastAsia="en-US"/>
        </w:rPr>
        <w:tab/>
        <w:t xml:space="preserve">contributions financières aux frais administratifs d'EMPIR. </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Article 5</w:t>
      </w:r>
      <w:r w:rsidRPr="00C63105">
        <w:rPr>
          <w:szCs w:val="24"/>
          <w:lang w:eastAsia="en-US"/>
        </w:rPr>
        <w:br/>
        <w:t xml:space="preserve">Règles de participation et de diffusion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 xml:space="preserve">Aux fins du règlement (UE) n° </w:t>
      </w:r>
      <w:r w:rsidRPr="00C63105">
        <w:rPr>
          <w:b/>
          <w:i/>
          <w:szCs w:val="24"/>
          <w:lang w:eastAsia="en-US"/>
        </w:rPr>
        <w:t>1290/2013</w:t>
      </w:r>
      <w:r w:rsidRPr="00C63105">
        <w:rPr>
          <w:szCs w:val="24"/>
          <w:lang w:eastAsia="en-US"/>
        </w:rPr>
        <w:t xml:space="preserve">, EURAMET est considérée comme un organisme de financement et apporte un soutien financier aux actions indirectes conformément à l'annexe II de la présente décision.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 xml:space="preserve">Par dérogation à l'article </w:t>
      </w:r>
      <w:r w:rsidRPr="00C63105">
        <w:rPr>
          <w:b/>
          <w:i/>
          <w:szCs w:val="24"/>
          <w:lang w:eastAsia="en-US"/>
        </w:rPr>
        <w:t>29</w:t>
      </w:r>
      <w:r w:rsidRPr="00C63105">
        <w:rPr>
          <w:szCs w:val="24"/>
          <w:lang w:eastAsia="en-US"/>
        </w:rPr>
        <w:t xml:space="preserve">, paragraphe 1, du règlement (UE) n° </w:t>
      </w:r>
      <w:r w:rsidRPr="00C63105">
        <w:rPr>
          <w:b/>
          <w:i/>
          <w:szCs w:val="24"/>
          <w:lang w:eastAsia="en-US"/>
        </w:rPr>
        <w:t>1290/2013</w:t>
      </w:r>
      <w:r w:rsidRPr="00C63105">
        <w:rPr>
          <w:szCs w:val="24"/>
          <w:lang w:eastAsia="en-US"/>
        </w:rPr>
        <w:t xml:space="preserve">, les coûts indirects éligibles des INM et des ID participant à des projets financés par EMPIR sont déterminés en appliquant un taux forfaitaire de 5 % du total de leurs coûts directs éligibles, à l'exception des coûts directs éligibles de sous-traitance et des coûts des ressources mises à disposition par des tiers qui ne sont pas utilisées dans les locaux du bénéficiaire, ainsi que d'un soutien financier à des tiers.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3.</w:t>
      </w:r>
      <w:r w:rsidRPr="00C63105">
        <w:rPr>
          <w:szCs w:val="24"/>
          <w:lang w:eastAsia="en-US"/>
        </w:rPr>
        <w:tab/>
        <w:t xml:space="preserve">L'évaluation intermédiaire d'EMPIR visée à l'article 12 comporte une évaluation de la totalité des coûts indirects des INM et des ID participant à des projets d'EMPIR ainsi que du financement institutionnel correspondant.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4.</w:t>
      </w:r>
      <w:r w:rsidRPr="00C63105">
        <w:rPr>
          <w:szCs w:val="24"/>
          <w:lang w:eastAsia="en-US"/>
        </w:rPr>
        <w:tab/>
        <w:t>Sur la base de cette évaluation et aux fins de l'article 2, paragraphe 2, EURAMET peut adapter le taux forfaitaire énoncé au paragraphe 2 du présent article.</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5.</w:t>
      </w:r>
      <w:r w:rsidRPr="00C63105">
        <w:rPr>
          <w:szCs w:val="24"/>
          <w:lang w:eastAsia="en-US"/>
        </w:rPr>
        <w:tab/>
        <w:t>Si cela s'avère insuffisant, EURAMET peut, par dérogation à l'article </w:t>
      </w:r>
      <w:r w:rsidRPr="00C63105">
        <w:rPr>
          <w:b/>
          <w:i/>
          <w:szCs w:val="24"/>
          <w:lang w:eastAsia="en-US"/>
        </w:rPr>
        <w:t>28</w:t>
      </w:r>
      <w:r w:rsidRPr="00C63105">
        <w:rPr>
          <w:szCs w:val="24"/>
          <w:lang w:eastAsia="en-US"/>
        </w:rPr>
        <w:t xml:space="preserve">, paragraphe 3, du règlement (UE) n° </w:t>
      </w:r>
      <w:r w:rsidRPr="00C63105">
        <w:rPr>
          <w:b/>
          <w:i/>
          <w:szCs w:val="24"/>
          <w:lang w:eastAsia="en-US"/>
        </w:rPr>
        <w:t>1290/2013</w:t>
      </w:r>
      <w:r w:rsidRPr="00C63105">
        <w:rPr>
          <w:szCs w:val="24"/>
          <w:lang w:eastAsia="en-US"/>
        </w:rPr>
        <w:t>, appliquer un taux de remboursement inférieur pour les coûts éligibles des INM et des ID participant à des projets financés par EMPIR.</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6</w:t>
      </w:r>
      <w:r w:rsidRPr="00C63105">
        <w:rPr>
          <w:szCs w:val="24"/>
          <w:lang w:eastAsia="en-US"/>
        </w:rPr>
        <w:br/>
        <w:t xml:space="preserve">Mise en œuvre d'EMPIR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EMPIR est mis en œuvre sur la base de plans de travail annuels.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EURAMET fournit un soutien financier sous la forme principalement de subventions aux participants à la suite d'appels à propositions.</w:t>
      </w:r>
    </w:p>
    <w:p w:rsidR="002022AB" w:rsidRPr="00C63105" w:rsidRDefault="002022AB" w:rsidP="00075179">
      <w:pPr>
        <w:autoSpaceDE w:val="0"/>
        <w:autoSpaceDN w:val="0"/>
        <w:adjustRightInd w:val="0"/>
        <w:spacing w:before="120" w:after="120" w:line="360" w:lineRule="auto"/>
        <w:ind w:left="851"/>
        <w:rPr>
          <w:szCs w:val="24"/>
          <w:lang w:eastAsia="en-US"/>
        </w:rPr>
      </w:pPr>
      <w:r w:rsidRPr="00C63105">
        <w:rPr>
          <w:szCs w:val="24"/>
          <w:lang w:eastAsia="en-US"/>
        </w:rPr>
        <w:t xml:space="preserve">Avant de déterminer les thèmes de chaque appel à propositions, EURAMET invite les personnes ou organismes intéressés des milieux de la recherche en métrologie et les utilisateurs à proposer d'éventuels sujets de recherche. </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 xml:space="preserve">Article 7 </w:t>
      </w:r>
      <w:r w:rsidRPr="00C63105">
        <w:rPr>
          <w:szCs w:val="24"/>
          <w:lang w:eastAsia="en-US"/>
        </w:rPr>
        <w:br/>
        <w:t xml:space="preserve">Accords et conventions entre l'Union et EURAMET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Sous réserve d'une évaluation ex ante positive d'EURAMET conformément à l'article 61, paragraphe 1, du règlement (UE, Euratom) n° 966/2012, la Commission conclut, au nom de l'Union, une convention de délégation et des accords annuels de transferts de fonds avec EURAMET.</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w:t>
      </w:r>
      <w:r w:rsidRPr="00C63105">
        <w:rPr>
          <w:szCs w:val="24"/>
          <w:lang w:eastAsia="en-US"/>
        </w:rPr>
        <w:tab/>
        <w:t>La convention de délégation visée au paragraphe 1 est conclue conformément à l'article 58, paragraphe 3, et aux articles 60 et 61 du règlement (UE, Euratom) n° 966/2012, ainsi qu'à l'article 40 du règlement délégué (UE) n° 1268/2012. Elle énonce également:</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a)</w:t>
      </w:r>
      <w:r w:rsidRPr="00C63105">
        <w:rPr>
          <w:szCs w:val="24"/>
          <w:lang w:eastAsia="en-US"/>
        </w:rPr>
        <w:tab/>
        <w:t xml:space="preserve">les exigences applicables à la contribution d'EURAMET en ce qui concerne les indicateurs de performance énoncés à l'annexe II de la décision </w:t>
      </w:r>
      <w:r w:rsidRPr="00C63105">
        <w:rPr>
          <w:b/>
          <w:i/>
          <w:szCs w:val="24"/>
          <w:lang w:eastAsia="en-US"/>
        </w:rPr>
        <w:t>2013/743/UE</w:t>
      </w:r>
      <w:r w:rsidRPr="00C63105">
        <w:rPr>
          <w:szCs w:val="24"/>
          <w:lang w:eastAsia="en-US"/>
        </w:rPr>
        <w:t>;</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b)</w:t>
      </w:r>
      <w:r w:rsidRPr="00C63105">
        <w:rPr>
          <w:szCs w:val="24"/>
          <w:lang w:eastAsia="en-US"/>
        </w:rPr>
        <w:tab/>
        <w:t xml:space="preserve">les exigences applicables à la contribution d'EURAMET au suivi visé à l'annexe III de la décision </w:t>
      </w:r>
      <w:r w:rsidRPr="00C63105">
        <w:rPr>
          <w:b/>
          <w:i/>
          <w:szCs w:val="24"/>
          <w:lang w:eastAsia="en-US"/>
        </w:rPr>
        <w:t>2013/743/UE</w:t>
      </w:r>
      <w:r w:rsidRPr="00C63105">
        <w:rPr>
          <w:szCs w:val="24"/>
          <w:lang w:eastAsia="en-US"/>
        </w:rPr>
        <w:t xml:space="preserve">; </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c)</w:t>
      </w:r>
      <w:r w:rsidRPr="00C63105">
        <w:rPr>
          <w:szCs w:val="24"/>
          <w:lang w:eastAsia="en-US"/>
        </w:rPr>
        <w:tab/>
        <w:t>les indicateurs de performance spécifiques liés au fonctionnement d'EURAMET;</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d)</w:t>
      </w:r>
      <w:r w:rsidRPr="00C63105">
        <w:rPr>
          <w:szCs w:val="24"/>
          <w:lang w:eastAsia="en-US"/>
        </w:rPr>
        <w:tab/>
        <w:t>les exigences applicables à EURAMET en matière de communication d'informations sur les coûts administratifs et sur les chiffres détaillés concernant la mise en œuvre d'EMPIR;</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szCs w:val="24"/>
          <w:lang w:eastAsia="en-US"/>
        </w:rPr>
        <w:t>e)</w:t>
      </w:r>
      <w:r w:rsidRPr="00C63105">
        <w:rPr>
          <w:szCs w:val="24"/>
          <w:lang w:eastAsia="en-US"/>
        </w:rPr>
        <w:tab/>
        <w:t>les modalités relatives à la communication des données nécessaires pour que la Commission soit en mesure de s'acquitter de ses obligations en matière de diffusion d'informations et d'établissement de rapports;</w:t>
      </w:r>
    </w:p>
    <w:p w:rsidR="002022AB" w:rsidRPr="00C63105" w:rsidRDefault="002022AB" w:rsidP="00075179">
      <w:pPr>
        <w:autoSpaceDE w:val="0"/>
        <w:autoSpaceDN w:val="0"/>
        <w:adjustRightInd w:val="0"/>
        <w:spacing w:before="120" w:after="120" w:line="360" w:lineRule="auto"/>
        <w:ind w:left="1418" w:hanging="567"/>
        <w:rPr>
          <w:szCs w:val="24"/>
          <w:lang w:eastAsia="en-US"/>
        </w:rPr>
      </w:pPr>
      <w:r w:rsidRPr="00C63105">
        <w:rPr>
          <w:b/>
          <w:i/>
          <w:color w:val="000000"/>
          <w:szCs w:val="24"/>
          <w:lang w:eastAsia="en-US"/>
        </w:rPr>
        <w:t>f)</w:t>
      </w:r>
      <w:r w:rsidRPr="00C63105">
        <w:rPr>
          <w:szCs w:val="24"/>
          <w:lang w:eastAsia="en-US"/>
        </w:rPr>
        <w:tab/>
      </w:r>
      <w:r w:rsidRPr="00C63105">
        <w:rPr>
          <w:b/>
          <w:i/>
          <w:color w:val="000000"/>
          <w:szCs w:val="24"/>
          <w:lang w:eastAsia="en-US"/>
        </w:rPr>
        <w:t>des dispositions relatives à la publication des appels à propositions lancés par EMPIR, en particulier sur le portail unique des participants ainsi que par d'autres moyens de diffusion électroniques dans le cadre d'Horizon 2020 gérés par la Commission.</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8</w:t>
      </w:r>
      <w:r w:rsidRPr="00C63105">
        <w:rPr>
          <w:szCs w:val="24"/>
          <w:lang w:eastAsia="en-US"/>
        </w:rPr>
        <w:br/>
        <w:t>Cessation, réduction ou suspension de la contribution financière de l'Union</w:t>
      </w:r>
    </w:p>
    <w:p w:rsidR="002022AB" w:rsidRPr="00C63105" w:rsidRDefault="002022AB" w:rsidP="00075179">
      <w:pPr>
        <w:widowControl w:val="0"/>
        <w:autoSpaceDE w:val="0"/>
        <w:autoSpaceDN w:val="0"/>
        <w:adjustRightInd w:val="0"/>
        <w:spacing w:before="120" w:after="120" w:line="360" w:lineRule="auto"/>
        <w:rPr>
          <w:szCs w:val="24"/>
          <w:lang w:eastAsia="en-US"/>
        </w:rPr>
      </w:pPr>
      <w:r w:rsidRPr="00C63105">
        <w:rPr>
          <w:szCs w:val="24"/>
          <w:lang w:eastAsia="en-US"/>
        </w:rPr>
        <w:t>Si EMPIR n'est pas mis en œuvre ou s'il est mis en œuvre de façon inadéquate, partielle ou tardive, la Commission peut mettre fin à la contribution financière de l'Union, la réduire proportionnellement ou la suspendre, en fonction de la mise en œuvre effective d'EMPIR.</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 xml:space="preserve">Si les États participants ne contribuent pas ou contribuent partiellement ou tardivement au financement d'EMPIR, la Commission peut mettre fin à la contribution financière de l'Union, la réduire proportionnellement ou la suspendre, en tenant compte du montant des fonds alloués par les États participants à la mise en œuvre d'EMPIR. </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Article 9</w:t>
      </w:r>
      <w:r w:rsidRPr="00C63105">
        <w:rPr>
          <w:szCs w:val="24"/>
          <w:lang w:eastAsia="en-US"/>
        </w:rPr>
        <w:br/>
        <w:t xml:space="preserve">Audits ex post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Les audits ex post des dépenses liées aux actions indirectes sont effectués par EURAMET conformément à l'article </w:t>
      </w:r>
      <w:r w:rsidRPr="00C63105">
        <w:rPr>
          <w:b/>
          <w:i/>
          <w:color w:val="000000"/>
          <w:szCs w:val="24"/>
          <w:lang w:eastAsia="en-US"/>
        </w:rPr>
        <w:t>29</w:t>
      </w:r>
      <w:r w:rsidRPr="00C63105">
        <w:rPr>
          <w:szCs w:val="24"/>
          <w:lang w:eastAsia="en-US"/>
        </w:rPr>
        <w:t xml:space="preserve"> du règlement (UE) n° </w:t>
      </w:r>
      <w:r w:rsidRPr="00C63105">
        <w:rPr>
          <w:b/>
          <w:i/>
          <w:color w:val="000000"/>
          <w:szCs w:val="24"/>
          <w:lang w:eastAsia="en-US"/>
        </w:rPr>
        <w:t>1291/2013</w:t>
      </w:r>
      <w:r w:rsidRPr="00C63105">
        <w:rPr>
          <w:szCs w:val="24"/>
          <w:lang w:eastAsia="en-US"/>
        </w:rPr>
        <w:t xml:space="preserve">.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La Commission peut décider d'effectuer elle-même les audits visés au paragraphe 1.</w:t>
      </w:r>
      <w:r w:rsidRPr="00C63105">
        <w:rPr>
          <w:b/>
          <w:i/>
          <w:color w:val="000000"/>
          <w:szCs w:val="24"/>
          <w:lang w:eastAsia="en-US"/>
        </w:rPr>
        <w:t xml:space="preserve"> Dans ce cas, elle agit conformément aux règles applicables, en particulier les dispositions des règlements (UE, Euratom) n° 966/2012, (UE) n° 1290/2013 et (UE) n° 1291/2013.</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10</w:t>
      </w:r>
      <w:r w:rsidRPr="00C63105">
        <w:rPr>
          <w:szCs w:val="24"/>
          <w:lang w:eastAsia="en-US"/>
        </w:rPr>
        <w:br/>
        <w:t>Protection des intérêts financiers de l'Union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 xml:space="preserve">La Commission prend les mesures appropriées pour garantir la protection des intérêts financiers de l'Union lors de la mise en œuvre d'actions financées au titre de la présente décision,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efficaces, proportionnées et dissuasives.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EURAMET accorde au personnel de la Commission et aux autres personnes autorisées par celle-ci, ainsi qu'à la Cour des comptes le droit d'accès à ses sites et locaux ainsi qu'à toutes les informations, y compris sous forme électronique, nécessaires pour mener à bien leurs audits.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3.</w:t>
      </w:r>
      <w:r w:rsidRPr="00C63105">
        <w:rPr>
          <w:szCs w:val="24"/>
          <w:lang w:eastAsia="en-US"/>
        </w:rPr>
        <w:tab/>
        <w:t>L'Office européen de lutte antifraude (OLAF) peut effectuer des enquêtes, y compris des contrôles et vérifications sur place, conformément aux dispositions et procédures prévues par le règlement (Euratom, CE) n° 2185/96 du Conseil</w:t>
      </w:r>
      <w:r w:rsidRPr="00C63105">
        <w:rPr>
          <w:b/>
          <w:szCs w:val="24"/>
          <w:vertAlign w:val="superscript"/>
          <w:lang w:eastAsia="en-US"/>
        </w:rPr>
        <w:footnoteReference w:id="46"/>
      </w:r>
      <w:r w:rsidRPr="00C63105">
        <w:rPr>
          <w:szCs w:val="24"/>
          <w:lang w:eastAsia="en-US"/>
        </w:rPr>
        <w:t xml:space="preserve"> et par le règlement (</w:t>
      </w:r>
      <w:r w:rsidRPr="00C63105">
        <w:rPr>
          <w:b/>
          <w:i/>
          <w:szCs w:val="24"/>
          <w:lang w:eastAsia="en-US"/>
        </w:rPr>
        <w:t>UE, Euratom</w:t>
      </w:r>
      <w:r w:rsidRPr="00C63105">
        <w:rPr>
          <w:szCs w:val="24"/>
          <w:lang w:eastAsia="en-US"/>
        </w:rPr>
        <w:t>) n° </w:t>
      </w:r>
      <w:r w:rsidRPr="00C63105">
        <w:rPr>
          <w:b/>
          <w:i/>
          <w:szCs w:val="24"/>
          <w:lang w:eastAsia="en-US"/>
        </w:rPr>
        <w:t>883/2013</w:t>
      </w:r>
      <w:r w:rsidRPr="00C63105">
        <w:rPr>
          <w:szCs w:val="24"/>
          <w:lang w:eastAsia="en-US"/>
        </w:rPr>
        <w:t xml:space="preserve"> du Parlement européen et du Conseil</w:t>
      </w:r>
      <w:r w:rsidRPr="00C63105">
        <w:rPr>
          <w:b/>
          <w:bCs/>
          <w:szCs w:val="24"/>
          <w:vertAlign w:val="superscript"/>
          <w:lang w:eastAsia="en-US"/>
        </w:rPr>
        <w:footnoteReference w:id="47"/>
      </w:r>
      <w:r w:rsidRPr="00C63105">
        <w:rPr>
          <w:szCs w:val="24"/>
          <w:lang w:eastAsia="en-US"/>
        </w:rPr>
        <w:t>, en vue d'établir l'existence éventuelle d'une fraude, d'un acte de corruption ou de toute autre activité illégale portant atteinte aux intérêts financiers de l'Union dans le cadre d'une convention de subvention ou d'une décision de subvention ou d'un contrat financé conformément à la présente décision.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4.</w:t>
      </w:r>
      <w:r w:rsidRPr="00C63105">
        <w:rPr>
          <w:szCs w:val="24"/>
          <w:lang w:eastAsia="en-US"/>
        </w:rPr>
        <w:tab/>
        <w:t xml:space="preserve">Les contrats, conventions de subvention et décisions de subvention résultant de la mise en œuvre de la présente décision contiennent des dispositions habilitant expressément la Commission, EURAMET, la Cour des comptes et l'OLAF à procéder à ces audits et enquêtes, conformément à leurs compétences respectives.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5.</w:t>
      </w:r>
      <w:r w:rsidRPr="00C63105">
        <w:rPr>
          <w:szCs w:val="24"/>
          <w:lang w:eastAsia="en-US"/>
        </w:rPr>
        <w:tab/>
        <w:t>Lors de la mise en œuvre d'EMPIR, les États participants prennent les mesures législatives, réglementaires, administratives et autres qui sont nécessaires à la protection des intérêts financiers de l'Union, notamment pour garantir le recouvrement intégral des sommes éventuellement dues à l'Union conformément au règlement (UE, Euratom) n° 966/2012 et au règlement délégué (UE) n° 1268/2012.</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11</w:t>
      </w:r>
      <w:r w:rsidRPr="00C63105">
        <w:rPr>
          <w:szCs w:val="24"/>
          <w:lang w:eastAsia="en-US"/>
        </w:rPr>
        <w:br/>
        <w:t>Communication d'informations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À la demande de la Commission, EURAMET transmet toute information nécessaire à l'élaboration des rapports visés à l'article 12.</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Les États participants transmettent à la Commission, par l'intermédiaire d'EURAMET, toute information demandée par le Parlement européen, le Conseil ou la Cour des comptes concernant la gestion financière d'EMPIR.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3.</w:t>
      </w:r>
      <w:r w:rsidRPr="00C63105">
        <w:rPr>
          <w:szCs w:val="24"/>
          <w:lang w:eastAsia="en-US"/>
        </w:rPr>
        <w:tab/>
        <w:t>La Commission inclut les informations visées au paragraphe 2 du présent article dans les rapports visés à l'article 12.</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12</w:t>
      </w:r>
      <w:r w:rsidRPr="00C63105">
        <w:rPr>
          <w:szCs w:val="24"/>
          <w:lang w:eastAsia="en-US"/>
        </w:rPr>
        <w:br/>
        <w:t>Évaluation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Au plus tard le 30 juin 2017, la Commission procède à une évaluation intermédiaire d'EMPIR</w:t>
      </w:r>
      <w:r w:rsidRPr="00C63105">
        <w:rPr>
          <w:b/>
          <w:i/>
          <w:szCs w:val="24"/>
          <w:lang w:eastAsia="en-US"/>
        </w:rPr>
        <w:t>, avec l'assistance d'experts indépendants</w:t>
      </w:r>
      <w:r w:rsidRPr="00C63105">
        <w:rPr>
          <w:szCs w:val="24"/>
          <w:lang w:eastAsia="en-US"/>
        </w:rPr>
        <w:t>. Elle établit un rapport d'évaluation contenant les conclusions de cette évaluation ainsi que ses observations. Elle transmet ce rapport au Parlement européen et au Conseil au plus tard le </w:t>
      </w:r>
      <w:r w:rsidRPr="00C63105">
        <w:rPr>
          <w:b/>
          <w:i/>
          <w:szCs w:val="24"/>
          <w:lang w:eastAsia="en-US"/>
        </w:rPr>
        <w:t>31 décembre 2017</w:t>
      </w:r>
      <w:r w:rsidRPr="00C63105">
        <w:rPr>
          <w:szCs w:val="24"/>
          <w:lang w:eastAsia="en-US"/>
        </w:rPr>
        <w:t>.</w:t>
      </w:r>
      <w:r w:rsidRPr="00C63105">
        <w:rPr>
          <w:b/>
          <w:i/>
          <w:color w:val="000000"/>
          <w:szCs w:val="24"/>
          <w:lang w:eastAsia="en-US"/>
        </w:rPr>
        <w:t xml:space="preserve"> Il est tenu compte des résultats de l'évaluation intermédiaire d'EMPIR dans l'évaluation intermédiaire d'Horizon 2020.</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Au terme de la participation de l'Union à EMPIR, mais au plus tard le 31 décembre 2024, la Commission procède à une évaluation finale d'EMPIR. Elle établit un rapport d'évaluation qui doit contenir les résultats de cette évaluation. La Commission transmet ce rapport au Parlement européen et au Conseil.</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Article 13</w:t>
      </w:r>
      <w:r w:rsidRPr="00C63105">
        <w:rPr>
          <w:szCs w:val="24"/>
          <w:lang w:eastAsia="en-US"/>
        </w:rPr>
        <w:br/>
        <w:t>Entrée en vigueur</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 xml:space="preserve">La présente décision entre en vigueur le vingtième jour suivant celui de sa publication au </w:t>
      </w:r>
      <w:r w:rsidRPr="00C63105">
        <w:rPr>
          <w:i/>
          <w:szCs w:val="24"/>
          <w:lang w:eastAsia="en-US"/>
        </w:rPr>
        <w:t>Journal officiel de l'Union européenne</w:t>
      </w:r>
      <w:r w:rsidRPr="00C63105">
        <w:rPr>
          <w:szCs w:val="24"/>
          <w:lang w:eastAsia="en-US"/>
        </w:rPr>
        <w:t>.</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Article 14</w:t>
      </w:r>
      <w:r w:rsidRPr="00C63105">
        <w:rPr>
          <w:szCs w:val="24"/>
          <w:lang w:eastAsia="en-US"/>
        </w:rPr>
        <w:br/>
        <w:t xml:space="preserve">Destinataires </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Les États membres sont destinataires de la présente décision.</w:t>
      </w:r>
    </w:p>
    <w:p w:rsidR="002022AB" w:rsidRPr="00C63105" w:rsidRDefault="002022AB" w:rsidP="00075179">
      <w:pPr>
        <w:autoSpaceDE w:val="0"/>
        <w:autoSpaceDN w:val="0"/>
        <w:adjustRightInd w:val="0"/>
        <w:spacing w:before="120" w:line="360" w:lineRule="auto"/>
        <w:rPr>
          <w:szCs w:val="24"/>
          <w:lang w:eastAsia="en-US"/>
        </w:rPr>
      </w:pPr>
      <w:r w:rsidRPr="00C63105">
        <w:rPr>
          <w:szCs w:val="24"/>
          <w:lang w:eastAsia="en-US"/>
        </w:rPr>
        <w:t xml:space="preserve">Fait à </w:t>
      </w:r>
    </w:p>
    <w:p w:rsidR="002022AB" w:rsidRPr="00C63105" w:rsidRDefault="002022AB" w:rsidP="00075179">
      <w:pPr>
        <w:autoSpaceDE w:val="0"/>
        <w:autoSpaceDN w:val="0"/>
        <w:adjustRightInd w:val="0"/>
        <w:spacing w:before="720" w:line="360" w:lineRule="auto"/>
        <w:ind w:left="4253" w:hanging="4253"/>
        <w:rPr>
          <w:i/>
          <w:szCs w:val="24"/>
          <w:lang w:eastAsia="en-US"/>
        </w:rPr>
      </w:pPr>
      <w:r w:rsidRPr="00C63105">
        <w:rPr>
          <w:i/>
          <w:szCs w:val="24"/>
          <w:lang w:eastAsia="en-US"/>
        </w:rPr>
        <w:t>Par le Parlement européen</w:t>
      </w:r>
      <w:r w:rsidRPr="00C63105">
        <w:rPr>
          <w:i/>
          <w:szCs w:val="24"/>
          <w:lang w:eastAsia="en-US"/>
        </w:rPr>
        <w:tab/>
        <w:t>Par le Conseil</w:t>
      </w:r>
    </w:p>
    <w:p w:rsidR="002022AB" w:rsidRPr="00C63105" w:rsidRDefault="002022AB" w:rsidP="00075179">
      <w:pPr>
        <w:autoSpaceDE w:val="0"/>
        <w:autoSpaceDN w:val="0"/>
        <w:adjustRightInd w:val="0"/>
        <w:spacing w:line="360" w:lineRule="auto"/>
        <w:ind w:left="4253" w:hanging="4253"/>
        <w:rPr>
          <w:i/>
          <w:szCs w:val="24"/>
          <w:lang w:eastAsia="en-US"/>
        </w:rPr>
      </w:pPr>
      <w:r w:rsidRPr="00C63105">
        <w:rPr>
          <w:i/>
          <w:szCs w:val="24"/>
          <w:lang w:eastAsia="en-US"/>
        </w:rPr>
        <w:t>Le président</w:t>
      </w:r>
      <w:r w:rsidRPr="00C63105">
        <w:rPr>
          <w:i/>
          <w:szCs w:val="24"/>
          <w:lang w:eastAsia="en-US"/>
        </w:rPr>
        <w:tab/>
        <w:t>Le président</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ANNEXE I</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Objectifs d'EMPIR</w:t>
      </w:r>
    </w:p>
    <w:p w:rsidR="002022AB" w:rsidRPr="00C63105" w:rsidRDefault="002022AB" w:rsidP="00075179">
      <w:pPr>
        <w:autoSpaceDE w:val="0"/>
        <w:autoSpaceDN w:val="0"/>
        <w:adjustRightInd w:val="0"/>
        <w:spacing w:before="120" w:after="120" w:line="360" w:lineRule="auto"/>
        <w:rPr>
          <w:szCs w:val="24"/>
          <w:lang w:eastAsia="en-US"/>
        </w:rPr>
      </w:pPr>
      <w:r w:rsidRPr="00C63105">
        <w:rPr>
          <w:szCs w:val="24"/>
          <w:lang w:eastAsia="en-US"/>
        </w:rPr>
        <w:t>EMPIR poursuit les objectifs généraux suivants: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a)</w:t>
      </w:r>
      <w:r w:rsidRPr="00C63105">
        <w:rPr>
          <w:szCs w:val="24"/>
          <w:lang w:eastAsia="en-US"/>
        </w:rPr>
        <w:tab/>
        <w:t>fournir des solutions appropriées, intégrées et adaptées à l'objectif poursuivi dans le domaine de la métrologie pour soutenir l'innovation et la compétitivité industrielle, ainsi que des techniques de mesure pour relever des enjeux de société tels que la santé, l'environnement et l'énergie, y compris pour soutenir l'élaboration et la mise en œuvre des politiques;</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b)</w:t>
      </w:r>
      <w:r w:rsidRPr="00C63105">
        <w:rPr>
          <w:szCs w:val="24"/>
          <w:lang w:eastAsia="en-US"/>
        </w:rPr>
        <w:tab/>
        <w:t>créer un système européen intégré de recherche en métrologie bénéficiant d'une masse critique suffisante et d'un engagement actif au niveau régional, national, européen et international.</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t>ANNEXE II</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Actions indirectes soutenues par 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EMPIR peut soutenir les actions indirectes suivantes dans le domaine des activités conjointes de recherche et de développement technologique:</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1.1.</w:t>
      </w:r>
      <w:r w:rsidRPr="00C63105">
        <w:rPr>
          <w:szCs w:val="24"/>
          <w:lang w:eastAsia="en-US"/>
        </w:rPr>
        <w:tab/>
        <w:t>activités scientifiques et techniques à l'appui de la métrologie scientifique fondamentale jetant les bases de toutes les étapes successives, y compris la recherche et développement en métrologie appliquée et les services liés à la métrologie;</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1.2.</w:t>
      </w:r>
      <w:r w:rsidRPr="00C63105">
        <w:rPr>
          <w:szCs w:val="24"/>
          <w:lang w:eastAsia="en-US"/>
        </w:rPr>
        <w:tab/>
        <w:t xml:space="preserve">recherche en métrologie visant à apporter des solutions aux enjeux de société, l'accent étant mis sur les contributions aux domaines de l'énergie, de l'environnement et de la santé;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1.3.</w:t>
      </w:r>
      <w:r w:rsidRPr="00C63105">
        <w:rPr>
          <w:szCs w:val="24"/>
          <w:lang w:eastAsia="en-US"/>
        </w:rPr>
        <w:tab/>
        <w:t xml:space="preserve">recherche visant à mettre au point de nouveaux instruments de mesure afin que l'industrie adopte les technologies de métrologie pour stimuler l'innovation dans l'industrie;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1.4.</w:t>
      </w:r>
      <w:r w:rsidRPr="00C63105">
        <w:rPr>
          <w:szCs w:val="24"/>
          <w:lang w:eastAsia="en-US"/>
        </w:rPr>
        <w:tab/>
        <w:t xml:space="preserve">recherche et développement prénormatifs et conormatifs dans le domaine de la métrologie pour les normes documentaires prioritaires, le but étant d'utiliser l'expertise des instituts de métrologie des États participants pour soutenir la mise en œuvre des politiques et accélérer l'arrivée de produits et services innovants sur le marché;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1.5.</w:t>
      </w:r>
      <w:r w:rsidRPr="00C63105">
        <w:rPr>
          <w:szCs w:val="24"/>
          <w:lang w:eastAsia="en-US"/>
        </w:rPr>
        <w:tab/>
        <w:t xml:space="preserve">activités de renforcement des capacités en métrologie à différents niveaux technologiques en vue de parvenir à un système de métrologie équilibré et intégré dans les États participants </w:t>
      </w:r>
      <w:r w:rsidRPr="00C63105">
        <w:rPr>
          <w:b/>
          <w:i/>
          <w:szCs w:val="24"/>
          <w:lang w:eastAsia="en-US"/>
        </w:rPr>
        <w:t>et de permettre à ceux-ci de développer leurs capacités scientifiques et</w:t>
      </w:r>
      <w:r w:rsidRPr="00C63105">
        <w:rPr>
          <w:b/>
          <w:i/>
          <w:szCs w:val="24"/>
          <w:lang w:val="fr-BE" w:eastAsia="en-US"/>
        </w:rPr>
        <w:t> </w:t>
      </w:r>
      <w:r w:rsidRPr="00C63105">
        <w:rPr>
          <w:b/>
          <w:i/>
          <w:szCs w:val="24"/>
          <w:lang w:eastAsia="en-US"/>
        </w:rPr>
        <w:t>techniques dans le domaine de la métrologie.</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w:t>
      </w:r>
      <w:r w:rsidRPr="00C63105">
        <w:rPr>
          <w:szCs w:val="24"/>
          <w:lang w:eastAsia="en-US"/>
        </w:rPr>
        <w:tab/>
        <w:t>EMPIR peut soutenir d'autres actions de diffusion et de valorisation des résultats de la recherche en métrologie.</w:t>
      </w:r>
    </w:p>
    <w:p w:rsidR="002022AB" w:rsidRPr="00C63105" w:rsidRDefault="002022AB" w:rsidP="00075179">
      <w:pPr>
        <w:autoSpaceDE w:val="0"/>
        <w:autoSpaceDN w:val="0"/>
        <w:adjustRightInd w:val="0"/>
        <w:spacing w:before="120" w:after="120" w:line="360" w:lineRule="auto"/>
        <w:ind w:left="851"/>
        <w:rPr>
          <w:szCs w:val="24"/>
          <w:lang w:eastAsia="en-US"/>
        </w:rPr>
      </w:pPr>
      <w:r w:rsidRPr="00C63105">
        <w:rPr>
          <w:szCs w:val="24"/>
          <w:lang w:eastAsia="en-US"/>
        </w:rPr>
        <w:t xml:space="preserve">EMPIR peut soutenir d'autres actions concernant spécifiquement des instituts de métrologie n'ayant que peu ou pas de capacités scientifiques, en les aidant à utiliser d'autres programmes nationaux, régionaux ou de l'Union européenne pour la formation et la mobilité, la coopération transfrontière ou les investissements dans les infrastructures de métrologie.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3.</w:t>
      </w:r>
      <w:r w:rsidRPr="00C63105">
        <w:rPr>
          <w:szCs w:val="24"/>
          <w:lang w:eastAsia="en-US"/>
        </w:rPr>
        <w:tab/>
        <w:t xml:space="preserve">EMPIR peut soutenir l'organisation d'activités de mise en réseau en vue de promouvoir EMPIR et d'en optimiser les effets.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4.</w:t>
      </w:r>
      <w:r w:rsidRPr="00C63105">
        <w:rPr>
          <w:szCs w:val="24"/>
          <w:lang w:eastAsia="en-US"/>
        </w:rPr>
        <w:tab/>
        <w:t xml:space="preserve">Les actions indirectes visées au point 1 sont réalisées par les INM et les ID, </w:t>
      </w:r>
      <w:r w:rsidRPr="00C63105">
        <w:rPr>
          <w:b/>
          <w:i/>
          <w:szCs w:val="24"/>
          <w:lang w:eastAsia="en-US"/>
        </w:rPr>
        <w:t>selon la</w:t>
      </w:r>
      <w:r w:rsidRPr="00C63105">
        <w:rPr>
          <w:b/>
          <w:i/>
          <w:szCs w:val="24"/>
          <w:lang w:val="fr-BE" w:eastAsia="en-US"/>
        </w:rPr>
        <w:t> </w:t>
      </w:r>
      <w:r w:rsidRPr="00C63105">
        <w:rPr>
          <w:b/>
          <w:i/>
          <w:szCs w:val="24"/>
          <w:lang w:eastAsia="en-US"/>
        </w:rPr>
        <w:t>désignation retenue par l'autorité nationale compétente.</w:t>
      </w:r>
      <w:r w:rsidRPr="00C63105">
        <w:rPr>
          <w:szCs w:val="24"/>
          <w:lang w:eastAsia="en-US"/>
        </w:rPr>
        <w:t xml:space="preserve"> EMPIR encourage et soutient néanmoins la participation d'autres entités </w:t>
      </w:r>
      <w:r w:rsidRPr="00C63105">
        <w:rPr>
          <w:b/>
          <w:i/>
          <w:szCs w:val="24"/>
          <w:lang w:eastAsia="en-US"/>
        </w:rPr>
        <w:t>à tous les appels qu'il a lancés</w:t>
      </w:r>
      <w:r w:rsidRPr="00C63105">
        <w:rPr>
          <w:szCs w:val="24"/>
          <w:lang w:eastAsia="en-US"/>
        </w:rPr>
        <w:t>. Ces entités devraient ainsi bénéficier d'une aide estimée à environ 15 % du budget d'EMPIR.</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br w:type="page"/>
      </w:r>
      <w:r w:rsidRPr="00C63105">
        <w:rPr>
          <w:color w:val="000000"/>
          <w:szCs w:val="24"/>
          <w:lang w:eastAsia="en-US"/>
        </w:rPr>
        <w:t>▌</w:t>
      </w:r>
      <w:r w:rsidRPr="00C63105">
        <w:rPr>
          <w:szCs w:val="24"/>
          <w:lang w:eastAsia="en-US"/>
        </w:rPr>
        <w:t>ANNEXE III</w:t>
      </w:r>
    </w:p>
    <w:p w:rsidR="002022AB" w:rsidRPr="00C63105" w:rsidRDefault="002022AB" w:rsidP="00075179">
      <w:pPr>
        <w:autoSpaceDE w:val="0"/>
        <w:autoSpaceDN w:val="0"/>
        <w:adjustRightInd w:val="0"/>
        <w:spacing w:before="120" w:after="120" w:line="360" w:lineRule="auto"/>
        <w:jc w:val="center"/>
        <w:rPr>
          <w:szCs w:val="24"/>
          <w:lang w:eastAsia="en-US"/>
        </w:rPr>
      </w:pPr>
      <w:r w:rsidRPr="00C63105">
        <w:rPr>
          <w:szCs w:val="24"/>
          <w:lang w:eastAsia="en-US"/>
        </w:rPr>
        <w:t>Mise en œuvre et gouvernance d'EMPIR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I</w:t>
      </w:r>
      <w:r w:rsidRPr="00C63105">
        <w:rPr>
          <w:szCs w:val="24"/>
          <w:lang w:eastAsia="en-US"/>
        </w:rPr>
        <w:tab/>
        <w:t>Le rôle d'EURAMET</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t>EURAMET est chargée de la mise œuvre d'EMPIR, sous réserve de l'article 3. Elle gère la contribution financière de l'Union à EMPIR et est chargée d'établir le plan de travail annuel et de le mettre en œuvre, d'organiser les appels à propositions, de gérer l'évaluation et le classement des propositions, et de mener à bien les autres activités découlant du plan de travail annuel. EURAMET est chargée de la gestion des subventions, y compris la signature des conventions de subvention, la réception et l'attribution de la contribution financière de l'Union ainsi que le suivi de son utilisation, et les paiements versés dans le cadre d'EMPIR aux participants aux projets sélectionnés.</w:t>
      </w:r>
    </w:p>
    <w:p w:rsidR="002022AB" w:rsidRPr="00C63105" w:rsidRDefault="002022AB" w:rsidP="00075179">
      <w:pPr>
        <w:autoSpaceDE w:val="0"/>
        <w:autoSpaceDN w:val="0"/>
        <w:adjustRightInd w:val="0"/>
        <w:spacing w:before="120" w:after="120" w:line="360" w:lineRule="auto"/>
        <w:ind w:left="851"/>
        <w:rPr>
          <w:szCs w:val="24"/>
          <w:lang w:eastAsia="en-US"/>
        </w:rPr>
      </w:pPr>
      <w:r w:rsidRPr="00C63105">
        <w:rPr>
          <w:szCs w:val="24"/>
          <w:lang w:eastAsia="en-US"/>
        </w:rPr>
        <w:t>Le suivi de la contribution financière de l'Union comprend toutes les activités de contrôle et d'audit, contrôle ex ante et/ou ex post, nécessaires pour mener à bien les tâches que la Commission a déléguées à EURAMET. Ces activités visent à fournir des assurances raisonnables concernant la légalité et la régularité des transactions sous-jacentes et l'éligibilité des coûts déclarés au titre des conventions de subvention.</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2.</w:t>
      </w:r>
      <w:r w:rsidRPr="00C63105">
        <w:rPr>
          <w:szCs w:val="24"/>
          <w:lang w:eastAsia="en-US"/>
        </w:rPr>
        <w:tab/>
        <w:t>EURAMET peut confier aux États participants certaines tâches administratives et logistiques relatives à la mise en œuvre d'EMPIR.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II</w:t>
      </w:r>
      <w:r w:rsidRPr="00C63105">
        <w:rPr>
          <w:szCs w:val="24"/>
          <w:lang w:eastAsia="en-US"/>
        </w:rPr>
        <w:tab/>
        <w:t>La structure organisationnelle d'EURAMET impliquée dans la mise en œuvre d'EMPIR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1.</w:t>
      </w:r>
      <w:r w:rsidRPr="00C63105">
        <w:rPr>
          <w:szCs w:val="24"/>
          <w:lang w:eastAsia="en-US"/>
        </w:rPr>
        <w:tab/>
      </w:r>
      <w:r w:rsidRPr="00C63105">
        <w:rPr>
          <w:b/>
          <w:i/>
          <w:szCs w:val="24"/>
          <w:lang w:eastAsia="en-US"/>
        </w:rPr>
        <w:t>L'assemblée générale est l'autorité suprême pour toutes les questions qui concernent EURAMET.</w:t>
      </w:r>
      <w:r w:rsidRPr="00C63105">
        <w:rPr>
          <w:b/>
          <w:i/>
          <w:color w:val="000000"/>
          <w:szCs w:val="24"/>
          <w:lang w:eastAsia="en-US"/>
        </w:rPr>
        <w:t xml:space="preserve"> Le comité EMPIR gère le programme dans le cadre défini par EURAMET, de sorte que ce dernier puisse s'assurer que le programme tel qu'il est exécuté répond à ses objectifs.</w:t>
      </w:r>
    </w:p>
    <w:p w:rsidR="002022AB" w:rsidRPr="00C63105" w:rsidRDefault="002022AB" w:rsidP="00075179">
      <w:pPr>
        <w:autoSpaceDE w:val="0"/>
        <w:autoSpaceDN w:val="0"/>
        <w:adjustRightInd w:val="0"/>
        <w:spacing w:before="120" w:after="120" w:line="360" w:lineRule="auto"/>
        <w:ind w:left="851"/>
        <w:rPr>
          <w:szCs w:val="24"/>
          <w:lang w:eastAsia="en-US"/>
        </w:rPr>
      </w:pPr>
      <w:r w:rsidRPr="00C63105">
        <w:rPr>
          <w:szCs w:val="24"/>
          <w:lang w:eastAsia="en-US"/>
        </w:rPr>
        <w:t>Le comité EMPIR est composé de représentants de membres d'EURAMET provenant des États participants. La pondération des voix est calculée sur la base des engagements nationaux, selon la règle de la racine carrée.</w:t>
      </w:r>
    </w:p>
    <w:p w:rsidR="002022AB" w:rsidRPr="00C63105" w:rsidRDefault="002022AB" w:rsidP="00075179">
      <w:pPr>
        <w:autoSpaceDE w:val="0"/>
        <w:autoSpaceDN w:val="0"/>
        <w:adjustRightInd w:val="0"/>
        <w:spacing w:before="120" w:after="120" w:line="360" w:lineRule="auto"/>
        <w:ind w:left="851"/>
        <w:rPr>
          <w:szCs w:val="24"/>
          <w:lang w:eastAsia="en-US"/>
        </w:rPr>
      </w:pPr>
      <w:r w:rsidRPr="00C63105">
        <w:rPr>
          <w:szCs w:val="24"/>
          <w:lang w:eastAsia="en-US"/>
        </w:rPr>
        <w:t>Le comité EMPIR prend, en particulier, des décisions sur le programme stratégique de recherche et d'innovation, la planification des appels à propositions, la procédure de révision de l'évaluation, la sélection des projets devant être financés conformément aux listes de classement et le suivi de l'avancement des projets financés. Il adopte le plan de travail annuel après approbation de la Commission.</w:t>
      </w:r>
    </w:p>
    <w:p w:rsidR="002022AB" w:rsidRPr="00C63105" w:rsidRDefault="002022AB" w:rsidP="00075179">
      <w:pPr>
        <w:autoSpaceDE w:val="0"/>
        <w:autoSpaceDN w:val="0"/>
        <w:adjustRightInd w:val="0"/>
        <w:spacing w:before="120" w:after="120" w:line="360" w:lineRule="auto"/>
        <w:ind w:left="851"/>
        <w:rPr>
          <w:szCs w:val="24"/>
          <w:lang w:eastAsia="en-US"/>
        </w:rPr>
      </w:pPr>
      <w:r w:rsidRPr="00C63105">
        <w:rPr>
          <w:szCs w:val="24"/>
          <w:lang w:eastAsia="en-US"/>
        </w:rPr>
        <w:t>La Commission a le statut d'observateur aux réunions du comité EMPIR. Toutefois, ce dernier doit obtenir l'accord préalable de la Commission pour pouvoir adopter le plan de travail annuel. Le comité EMPIR invite la Commission à ses réunions et lui transmet les documents utiles. La Commission peut prendre part aux discussions du comité 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br w:type="page"/>
        <w:t>2.</w:t>
      </w:r>
      <w:r w:rsidRPr="00C63105">
        <w:rPr>
          <w:szCs w:val="24"/>
          <w:lang w:eastAsia="en-US"/>
        </w:rPr>
        <w:tab/>
        <w:t xml:space="preserve">Le comité EMPIR élit son président et son vice-président. Le président du comité EMPIR est l'un des deux vice-présidents d'EURAMET. Le président du comité EMPIR représente EURAMET pour les questions relatives à EMPIR. </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3.</w:t>
      </w:r>
      <w:r w:rsidRPr="00C63105">
        <w:rPr>
          <w:szCs w:val="24"/>
          <w:lang w:eastAsia="en-US"/>
        </w:rPr>
        <w:tab/>
        <w:t>Le conseil de la recherche est composé d'experts de haut niveau issus de l'industrie, de la recherche, des milieux universitaires et d'organisations internationales intéressées. Il fournit des conseils stratégiques indépendants sur le plan de travail annuel d'EMPIR. Les membres du conseil de la recherche sont nommés par l'assemblée générale d'EURAMET.</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4.</w:t>
      </w:r>
      <w:r w:rsidRPr="00C63105">
        <w:rPr>
          <w:szCs w:val="24"/>
          <w:lang w:eastAsia="en-US"/>
        </w:rPr>
        <w:tab/>
        <w:t>Le secrétariat d'EURAMET, qui apporte un appui administratif général à EURAMET, tient les comptes bancaires pour EMPIR.</w:t>
      </w:r>
    </w:p>
    <w:p w:rsidR="002022AB" w:rsidRPr="00C63105" w:rsidRDefault="002022AB" w:rsidP="00075179">
      <w:pPr>
        <w:autoSpaceDE w:val="0"/>
        <w:autoSpaceDN w:val="0"/>
        <w:adjustRightInd w:val="0"/>
        <w:spacing w:before="120" w:after="120" w:line="360" w:lineRule="auto"/>
        <w:ind w:left="851" w:hanging="851"/>
        <w:rPr>
          <w:szCs w:val="24"/>
          <w:lang w:eastAsia="en-US"/>
        </w:rPr>
      </w:pPr>
      <w:r w:rsidRPr="00C63105">
        <w:rPr>
          <w:szCs w:val="24"/>
          <w:lang w:eastAsia="en-US"/>
        </w:rPr>
        <w:t>5.</w:t>
      </w:r>
      <w:r w:rsidRPr="00C63105">
        <w:rPr>
          <w:szCs w:val="24"/>
          <w:lang w:eastAsia="en-US"/>
        </w:rPr>
        <w:tab/>
        <w:t>L'unité d'appui à la gestion est mise en place au sein du secrétariat d'EURAMET et est chargée de la mise en œuvre et de la gestion quotidienne d'EMPIR.</w:t>
      </w:r>
    </w:p>
    <w:p w:rsidR="002022AB" w:rsidRPr="00C63105" w:rsidRDefault="002022AB" w:rsidP="00075179">
      <w:pPr>
        <w:pBdr>
          <w:bottom w:val="single" w:sz="4" w:space="0" w:color="000000"/>
        </w:pBdr>
        <w:spacing w:before="360" w:after="120" w:line="360" w:lineRule="auto"/>
        <w:ind w:left="3400" w:right="3400"/>
        <w:jc w:val="center"/>
        <w:rPr>
          <w:b/>
          <w:szCs w:val="24"/>
          <w:lang w:eastAsia="fr-FR" w:bidi="fr-FR"/>
        </w:rPr>
      </w:pPr>
    </w:p>
    <w:p w:rsidR="002022AB" w:rsidRPr="00C63105" w:rsidRDefault="002022AB" w:rsidP="00075179">
      <w:pPr>
        <w:spacing w:before="360" w:line="360" w:lineRule="auto"/>
        <w:jc w:val="center"/>
        <w:rPr>
          <w:szCs w:val="24"/>
          <w:lang w:eastAsia="en-US"/>
        </w:rPr>
      </w:pPr>
    </w:p>
    <w:p w:rsidR="002022AB" w:rsidRPr="00360CD8" w:rsidRDefault="002022AB" w:rsidP="00075179">
      <w:pPr>
        <w:rPr>
          <w:szCs w:val="24"/>
        </w:rPr>
      </w:pPr>
    </w:p>
    <w:p w:rsidR="002022AB" w:rsidRDefault="002022AB">
      <w:pPr>
        <w:rPr>
          <w:noProof w:val="0"/>
        </w:rPr>
        <w:sectPr w:rsidR="002022AB" w:rsidSect="00075179">
          <w:headerReference w:type="even" r:id="rId38"/>
          <w:headerReference w:type="default" r:id="rId39"/>
          <w:footerReference w:type="even" r:id="rId40"/>
          <w:footerReference w:type="default" r:id="rId41"/>
          <w:headerReference w:type="first" r:id="rId42"/>
          <w:footerReference w:type="first" r:id="rId43"/>
          <w:footnotePr>
            <w:numRestart w:val="eachPage"/>
          </w:footnotePr>
          <w:endnotePr>
            <w:numFmt w:val="decimal"/>
          </w:endnotePr>
          <w:pgSz w:w="11905" w:h="16837" w:code="9"/>
          <w:pgMar w:top="1134" w:right="1247" w:bottom="1814" w:left="1418" w:header="720" w:footer="397" w:gutter="0"/>
          <w:cols w:space="720"/>
          <w:noEndnote/>
          <w:docGrid w:linePitch="326"/>
        </w:sectPr>
      </w:pPr>
    </w:p>
    <w:p w:rsidR="002022AB" w:rsidRDefault="002022AB" w:rsidP="00075179">
      <w:pPr>
        <w:pStyle w:val="ATHeading1"/>
      </w:pPr>
      <w:bookmarkStart w:id="39" w:name="_Toc385342992"/>
      <w:bookmarkStart w:id="40" w:name="_Toc385343067"/>
      <w:r>
        <w:t>P7_TA-PROV(2014)0366</w:t>
      </w:r>
      <w:bookmarkEnd w:id="39"/>
      <w:bookmarkEnd w:id="40"/>
    </w:p>
    <w:p w:rsidR="002022AB" w:rsidRDefault="002022AB" w:rsidP="00075179">
      <w:pPr>
        <w:pStyle w:val="ATHeading2"/>
      </w:pPr>
      <w:bookmarkStart w:id="41" w:name="_Toc385342993"/>
      <w:bookmarkStart w:id="42" w:name="_Toc385343068"/>
      <w:r>
        <w:t>Programme de partenariat des pays européens et en développement sur les essais cliniques ***I</w:t>
      </w:r>
      <w:bookmarkEnd w:id="41"/>
      <w:bookmarkEnd w:id="42"/>
    </w:p>
    <w:p w:rsidR="002022AB" w:rsidRDefault="002022AB" w:rsidP="00075179">
      <w:pPr>
        <w:rPr>
          <w:i/>
          <w:vanish/>
        </w:rPr>
      </w:pPr>
      <w:r>
        <w:rPr>
          <w:i/>
        </w:rPr>
        <w:fldChar w:fldCharType="begin"/>
      </w:r>
      <w:r>
        <w:rPr>
          <w:i/>
        </w:rPr>
        <w:instrText xml:space="preserve"> TC"</w:instrText>
      </w:r>
      <w:bookmarkStart w:id="43" w:name="_Toc385342994"/>
      <w:bookmarkStart w:id="44" w:name="_Toc385343069"/>
      <w:r>
        <w:rPr>
          <w:i/>
        </w:rPr>
        <w:instrText>(A7-0064/2014 - Rapporteure: Vicky Ford)</w:instrText>
      </w:r>
      <w:bookmarkEnd w:id="43"/>
      <w:bookmarkEnd w:id="44"/>
      <w:r>
        <w:rPr>
          <w:i/>
        </w:rPr>
        <w:instrText xml:space="preserve">"\l3 \n&gt; \* MERGEFORMAT </w:instrText>
      </w:r>
      <w:r>
        <w:rPr>
          <w:i/>
        </w:rPr>
        <w:fldChar w:fldCharType="end"/>
      </w:r>
    </w:p>
    <w:p w:rsidR="002022AB" w:rsidRDefault="002022AB" w:rsidP="00075179">
      <w:pPr>
        <w:rPr>
          <w:vanish/>
        </w:rPr>
      </w:pPr>
      <w:r w:rsidRPr="00CD4CA9">
        <w:rPr>
          <w:vanish/>
        </w:rPr>
        <w:t>Commission de l'industrie, de la recherche et de l'énergie</w:t>
      </w:r>
    </w:p>
    <w:p w:rsidR="002022AB" w:rsidRDefault="002022AB" w:rsidP="00075179">
      <w:pPr>
        <w:rPr>
          <w:vanish/>
        </w:rPr>
      </w:pPr>
      <w:r w:rsidRPr="00CD4CA9">
        <w:rPr>
          <w:vanish/>
        </w:rPr>
        <w:t>PE522.973</w:t>
      </w:r>
    </w:p>
    <w:p w:rsidR="002022AB" w:rsidRDefault="002022AB" w:rsidP="00075179">
      <w:pPr>
        <w:pStyle w:val="ATHeading3"/>
      </w:pPr>
      <w:bookmarkStart w:id="45" w:name="_Toc385343070"/>
      <w:r>
        <w:t>Résolution législative du Parlement européen du 15 avril 2014 sur la proposition de décision du Parlement européen et du Conseil relative à la participation de l'Union à un second programme "Partenariat des pays européens et en développement sur les essais cliniques" entrepris conjointement par plusieurs États membres (COM(2013)0498 – C7-0222/2013 – 2013/0243(COD))</w:t>
      </w:r>
      <w:bookmarkEnd w:id="45"/>
    </w:p>
    <w:p w:rsidR="002022AB" w:rsidRDefault="002022AB" w:rsidP="00075179"/>
    <w:p w:rsidR="002022AB" w:rsidRPr="00AF1DA0" w:rsidRDefault="002022AB" w:rsidP="00075179">
      <w:pPr>
        <w:pStyle w:val="Normal12Bold"/>
        <w:rPr>
          <w:szCs w:val="24"/>
        </w:rPr>
      </w:pPr>
      <w:r w:rsidRPr="00AF1DA0">
        <w:rPr>
          <w:noProof/>
          <w:szCs w:val="24"/>
        </w:rPr>
        <w:t>(Procédure législative ordinaire:</w:t>
      </w:r>
      <w:r w:rsidRPr="00AF1DA0">
        <w:rPr>
          <w:szCs w:val="24"/>
        </w:rPr>
        <w:t xml:space="preserve"> </w:t>
      </w:r>
      <w:r w:rsidRPr="00AF1DA0">
        <w:rPr>
          <w:noProof/>
          <w:szCs w:val="24"/>
        </w:rPr>
        <w:t>première lecture)</w:t>
      </w:r>
    </w:p>
    <w:p w:rsidR="002022AB" w:rsidRPr="00AF1DA0" w:rsidRDefault="002022AB" w:rsidP="00075179">
      <w:pPr>
        <w:pStyle w:val="Normal12"/>
        <w:spacing w:before="360"/>
        <w:rPr>
          <w:szCs w:val="24"/>
        </w:rPr>
      </w:pPr>
      <w:r w:rsidRPr="00AF1DA0">
        <w:rPr>
          <w:i/>
          <w:noProof/>
          <w:szCs w:val="24"/>
        </w:rPr>
        <w:t>Le Parlement européen</w:t>
      </w:r>
      <w:r w:rsidRPr="00AF1DA0">
        <w:rPr>
          <w:noProof/>
          <w:szCs w:val="24"/>
        </w:rPr>
        <w:t>,</w:t>
      </w:r>
    </w:p>
    <w:p w:rsidR="002022AB" w:rsidRPr="00AF1DA0" w:rsidRDefault="002022AB" w:rsidP="00075179">
      <w:pPr>
        <w:pStyle w:val="Normal12Hanging"/>
        <w:widowControl/>
        <w:rPr>
          <w:szCs w:val="24"/>
        </w:rPr>
      </w:pPr>
      <w:r w:rsidRPr="00AF1DA0">
        <w:rPr>
          <w:szCs w:val="24"/>
        </w:rPr>
        <w:t>–</w:t>
      </w:r>
      <w:r w:rsidRPr="00AF1DA0">
        <w:rPr>
          <w:szCs w:val="24"/>
        </w:rPr>
        <w:tab/>
      </w:r>
      <w:r w:rsidRPr="00AF1DA0">
        <w:rPr>
          <w:noProof/>
          <w:szCs w:val="24"/>
        </w:rPr>
        <w:t>vu la proposition de la Commission au Parlement européen et au Conseil (COM(2013)0498),</w:t>
      </w:r>
    </w:p>
    <w:p w:rsidR="002022AB" w:rsidRPr="00AF1DA0" w:rsidRDefault="002022AB" w:rsidP="00075179">
      <w:pPr>
        <w:pStyle w:val="Normal12Hanging"/>
        <w:widowControl/>
        <w:rPr>
          <w:szCs w:val="24"/>
        </w:rPr>
      </w:pPr>
      <w:r w:rsidRPr="00AF1DA0">
        <w:rPr>
          <w:szCs w:val="24"/>
        </w:rPr>
        <w:t>–</w:t>
      </w:r>
      <w:r w:rsidRPr="00AF1DA0">
        <w:rPr>
          <w:szCs w:val="24"/>
        </w:rPr>
        <w:tab/>
      </w:r>
      <w:r w:rsidRPr="00AF1DA0">
        <w:rPr>
          <w:noProof/>
          <w:szCs w:val="24"/>
        </w:rPr>
        <w:t xml:space="preserve">vu l'article 294, paragraphe 2, l'article 185 et l'article 188, </w:t>
      </w:r>
      <w:r>
        <w:rPr>
          <w:noProof/>
          <w:szCs w:val="24"/>
        </w:rPr>
        <w:t>deuxième alinéa</w:t>
      </w:r>
      <w:r w:rsidRPr="00AF1DA0">
        <w:rPr>
          <w:noProof/>
          <w:szCs w:val="24"/>
        </w:rPr>
        <w:t>, du traité sur le fonctionnement de l'Union européenne, conformément auxquels la proposition lui a été présentée par la Commission (C7</w:t>
      </w:r>
      <w:r w:rsidRPr="00AF1DA0">
        <w:rPr>
          <w:noProof/>
          <w:szCs w:val="24"/>
        </w:rPr>
        <w:noBreakHyphen/>
        <w:t>0222/2013),</w:t>
      </w:r>
    </w:p>
    <w:p w:rsidR="002022AB" w:rsidRPr="00AF1DA0" w:rsidRDefault="002022AB" w:rsidP="00075179">
      <w:pPr>
        <w:pStyle w:val="Normal12Hanging"/>
        <w:widowControl/>
        <w:rPr>
          <w:szCs w:val="24"/>
        </w:rPr>
      </w:pPr>
      <w:r w:rsidRPr="00AF1DA0">
        <w:rPr>
          <w:szCs w:val="24"/>
        </w:rPr>
        <w:t>–</w:t>
      </w:r>
      <w:r w:rsidRPr="00AF1DA0">
        <w:rPr>
          <w:szCs w:val="24"/>
        </w:rPr>
        <w:tab/>
      </w:r>
      <w:r w:rsidRPr="00AF1DA0">
        <w:rPr>
          <w:noProof/>
          <w:szCs w:val="24"/>
        </w:rPr>
        <w:t>vu l'article 294, paragraphe 3, du traité sur le fonctionnement de l'Union européenne,</w:t>
      </w:r>
    </w:p>
    <w:p w:rsidR="002022AB" w:rsidRDefault="002022AB" w:rsidP="00075179">
      <w:pPr>
        <w:pStyle w:val="Normal12Hanging"/>
        <w:widowControl/>
        <w:rPr>
          <w:noProof/>
          <w:szCs w:val="24"/>
        </w:rPr>
      </w:pPr>
      <w:r w:rsidRPr="00AF1DA0">
        <w:rPr>
          <w:szCs w:val="24"/>
        </w:rPr>
        <w:t>–</w:t>
      </w:r>
      <w:r w:rsidRPr="00AF1DA0">
        <w:rPr>
          <w:szCs w:val="24"/>
        </w:rPr>
        <w:tab/>
      </w:r>
      <w:r w:rsidRPr="00AF1DA0">
        <w:rPr>
          <w:noProof/>
          <w:szCs w:val="24"/>
        </w:rPr>
        <w:t>vu l'avis du Comité économique et social européen du 10 décembre 2013</w:t>
      </w:r>
      <w:r w:rsidRPr="00AF1DA0">
        <w:rPr>
          <w:rStyle w:val="FootnoteReference"/>
          <w:noProof/>
          <w:szCs w:val="24"/>
        </w:rPr>
        <w:footnoteReference w:id="48"/>
      </w:r>
      <w:r w:rsidRPr="00AF1DA0">
        <w:rPr>
          <w:noProof/>
          <w:szCs w:val="24"/>
        </w:rPr>
        <w:t>,</w:t>
      </w:r>
    </w:p>
    <w:p w:rsidR="002022AB" w:rsidRDefault="002022AB" w:rsidP="00075179">
      <w:pPr>
        <w:pStyle w:val="Normal12Hanging"/>
        <w:widowControl/>
      </w:pPr>
      <w:r w:rsidRPr="00B04248">
        <w:t>–</w:t>
      </w:r>
      <w:r w:rsidRPr="00B04248">
        <w:tab/>
        <w:t xml:space="preserve">vu l'engagement pris par le représentant du Conseil, par lettre du </w:t>
      </w:r>
      <w:r>
        <w:t>26</w:t>
      </w:r>
      <w:r w:rsidRPr="00B04248">
        <w:t> </w:t>
      </w:r>
      <w:r>
        <w:t>février</w:t>
      </w:r>
      <w:r w:rsidRPr="00B04248">
        <w:t> 201</w:t>
      </w:r>
      <w:r>
        <w:t>4</w:t>
      </w:r>
      <w:r w:rsidRPr="00B04248">
        <w:t xml:space="preserve">, d'approuver la position du </w:t>
      </w:r>
      <w:r w:rsidRPr="00D832CA">
        <w:rPr>
          <w:noProof/>
          <w:szCs w:val="24"/>
        </w:rPr>
        <w:t>Parlement</w:t>
      </w:r>
      <w:r w:rsidRPr="00B04248">
        <w:t xml:space="preserve"> européen, conformément à l'article 294, paragraphe 4, du traité sur le fonctionnement de l'Union européenne,</w:t>
      </w:r>
    </w:p>
    <w:p w:rsidR="002022AB" w:rsidRPr="00AF1DA0" w:rsidRDefault="002022AB" w:rsidP="00075179">
      <w:pPr>
        <w:pStyle w:val="Normal12Hanging"/>
        <w:widowControl/>
        <w:rPr>
          <w:szCs w:val="24"/>
        </w:rPr>
      </w:pPr>
      <w:r w:rsidRPr="00AF1DA0">
        <w:rPr>
          <w:szCs w:val="24"/>
        </w:rPr>
        <w:t>–</w:t>
      </w:r>
      <w:r w:rsidRPr="00AF1DA0">
        <w:rPr>
          <w:szCs w:val="24"/>
        </w:rPr>
        <w:tab/>
      </w:r>
      <w:r w:rsidRPr="00AF1DA0">
        <w:rPr>
          <w:noProof/>
          <w:szCs w:val="24"/>
        </w:rPr>
        <w:t>vu l'article 55 de son règlement,</w:t>
      </w:r>
    </w:p>
    <w:p w:rsidR="002022AB" w:rsidRPr="00AF1DA0" w:rsidRDefault="002022AB" w:rsidP="00075179">
      <w:pPr>
        <w:pStyle w:val="Normal12Hanging"/>
        <w:widowControl/>
        <w:rPr>
          <w:szCs w:val="24"/>
        </w:rPr>
      </w:pPr>
      <w:r w:rsidRPr="00AF1DA0">
        <w:rPr>
          <w:szCs w:val="24"/>
        </w:rPr>
        <w:t>–</w:t>
      </w:r>
      <w:r w:rsidRPr="00AF1DA0">
        <w:rPr>
          <w:szCs w:val="24"/>
        </w:rPr>
        <w:tab/>
      </w:r>
      <w:r w:rsidRPr="00AF1DA0">
        <w:rPr>
          <w:noProof/>
          <w:szCs w:val="24"/>
        </w:rPr>
        <w:t>vu le rapport de la commission de l'industrie, de la recherche et de l'énergie et l'avis de la commission du développement (A7-0064/2014),</w:t>
      </w:r>
    </w:p>
    <w:p w:rsidR="002022AB" w:rsidRPr="00AF1DA0" w:rsidRDefault="002022AB" w:rsidP="00075179">
      <w:pPr>
        <w:pStyle w:val="Normal12Hanging"/>
        <w:widowControl/>
        <w:rPr>
          <w:szCs w:val="24"/>
        </w:rPr>
      </w:pPr>
      <w:r w:rsidRPr="00AF1DA0">
        <w:rPr>
          <w:szCs w:val="24"/>
        </w:rPr>
        <w:t>1.</w:t>
      </w:r>
      <w:r w:rsidRPr="00AF1DA0">
        <w:rPr>
          <w:szCs w:val="24"/>
        </w:rPr>
        <w:tab/>
      </w:r>
      <w:r w:rsidRPr="00AF1DA0">
        <w:rPr>
          <w:noProof/>
          <w:szCs w:val="24"/>
        </w:rPr>
        <w:t>arrête la position en première lecture figurant ci-après;</w:t>
      </w:r>
    </w:p>
    <w:p w:rsidR="002022AB" w:rsidRPr="00AF1DA0" w:rsidRDefault="002022AB" w:rsidP="00075179">
      <w:pPr>
        <w:pStyle w:val="Normal12Hanging"/>
        <w:widowControl/>
        <w:rPr>
          <w:szCs w:val="24"/>
        </w:rPr>
      </w:pPr>
      <w:r w:rsidRPr="00AF1DA0">
        <w:rPr>
          <w:szCs w:val="24"/>
        </w:rPr>
        <w:t>2.</w:t>
      </w:r>
      <w:r w:rsidRPr="00AF1DA0">
        <w:rPr>
          <w:szCs w:val="24"/>
        </w:rPr>
        <w:tab/>
      </w:r>
      <w:r w:rsidRPr="00AF1DA0">
        <w:rPr>
          <w:noProof/>
          <w:szCs w:val="24"/>
        </w:rPr>
        <w:t>demande à la Commission de le saisir à nouveau, si elle entend modifier de manière substantielle sa proposition ou la remplacer par un autre texte;</w:t>
      </w:r>
    </w:p>
    <w:p w:rsidR="002022AB" w:rsidRPr="00AF1DA0" w:rsidRDefault="002022AB" w:rsidP="00075179">
      <w:pPr>
        <w:pStyle w:val="Normal12Hanging"/>
        <w:widowControl/>
        <w:rPr>
          <w:szCs w:val="24"/>
        </w:rPr>
      </w:pPr>
      <w:r w:rsidRPr="00AF1DA0">
        <w:rPr>
          <w:szCs w:val="24"/>
        </w:rPr>
        <w:t>3.</w:t>
      </w:r>
      <w:r w:rsidRPr="00AF1DA0">
        <w:rPr>
          <w:szCs w:val="24"/>
        </w:rPr>
        <w:tab/>
      </w:r>
      <w:r w:rsidRPr="00AF1DA0">
        <w:rPr>
          <w:noProof/>
          <w:szCs w:val="24"/>
        </w:rPr>
        <w:t>charge son Président de transmettre la position du Parlement au Conseil et à la Commission ainsi qu'aux parlements nationaux.</w:t>
      </w:r>
    </w:p>
    <w:p w:rsidR="002022AB" w:rsidRPr="00C617B0" w:rsidRDefault="002022AB" w:rsidP="00075179">
      <w:pPr>
        <w:spacing w:after="240"/>
        <w:rPr>
          <w:b/>
        </w:rPr>
      </w:pPr>
      <w:r>
        <w:rPr>
          <w:szCs w:val="24"/>
        </w:rPr>
        <w:br w:type="page"/>
      </w:r>
      <w:r w:rsidRPr="00C617B0">
        <w:rPr>
          <w:b/>
        </w:rPr>
        <w:t>P7_TC1-COD(</w:t>
      </w:r>
      <w:r>
        <w:rPr>
          <w:b/>
        </w:rPr>
        <w:t>2013</w:t>
      </w:r>
      <w:r w:rsidRPr="00C617B0">
        <w:rPr>
          <w:b/>
        </w:rPr>
        <w:t>)</w:t>
      </w:r>
      <w:r>
        <w:rPr>
          <w:b/>
        </w:rPr>
        <w:t>0243</w:t>
      </w:r>
    </w:p>
    <w:p w:rsidR="002022AB" w:rsidRPr="00331ED1" w:rsidRDefault="002022AB" w:rsidP="00075179">
      <w:pPr>
        <w:spacing w:after="240"/>
        <w:rPr>
          <w:b/>
          <w:bCs/>
          <w:szCs w:val="24"/>
          <w:lang w:eastAsia="fr-FR" w:bidi="fr-FR"/>
        </w:rPr>
      </w:pPr>
      <w:r w:rsidRPr="00C92B87">
        <w:rPr>
          <w:b/>
        </w:rPr>
        <w:t>Position du Parlement européen arrêtée en première lecture le</w:t>
      </w:r>
      <w:r>
        <w:rPr>
          <w:b/>
        </w:rPr>
        <w:t xml:space="preserve"> 15 avril 2014</w:t>
      </w:r>
      <w:r w:rsidRPr="00C92B87">
        <w:rPr>
          <w:b/>
        </w:rPr>
        <w:t xml:space="preserve"> en vue de l’adoption </w:t>
      </w:r>
      <w:r w:rsidRPr="00331ED1">
        <w:rPr>
          <w:b/>
        </w:rPr>
        <w:t>de la décision n° …/2014/UE du Parlement</w:t>
      </w:r>
      <w:r w:rsidRPr="00C92B87">
        <w:rPr>
          <w:b/>
        </w:rPr>
        <w:t xml:space="preserve"> européen et du Conseil </w:t>
      </w:r>
      <w:r w:rsidRPr="00331ED1">
        <w:rPr>
          <w:b/>
          <w:szCs w:val="24"/>
          <w:lang w:eastAsia="fr-FR" w:bidi="fr-FR"/>
        </w:rPr>
        <w:t>relative à la participation de l'Union à un second programme "partenariat des pays européens et en développement sur les essais cliniques" (EDCTP-II) entrepris conjointement par plusieurs États membres</w:t>
      </w:r>
    </w:p>
    <w:p w:rsidR="002022AB" w:rsidRPr="00331ED1" w:rsidRDefault="002022AB" w:rsidP="00075179">
      <w:pPr>
        <w:spacing w:line="360" w:lineRule="auto"/>
        <w:jc w:val="center"/>
        <w:rPr>
          <w:szCs w:val="24"/>
          <w:u w:val="single"/>
          <w:lang w:eastAsia="fr-FR" w:bidi="fr-FR"/>
        </w:rPr>
      </w:pPr>
      <w:r w:rsidRPr="00331ED1">
        <w:rPr>
          <w:color w:val="000000"/>
          <w:szCs w:val="24"/>
          <w:lang w:eastAsia="fr-FR" w:bidi="fr-FR"/>
        </w:rPr>
        <w:t>▌</w:t>
      </w:r>
    </w:p>
    <w:p w:rsidR="002022AB" w:rsidRPr="00331ED1" w:rsidRDefault="002022AB" w:rsidP="00075179">
      <w:pPr>
        <w:spacing w:before="600" w:after="120" w:line="360" w:lineRule="auto"/>
        <w:rPr>
          <w:szCs w:val="24"/>
          <w:lang w:eastAsia="fr-FR" w:bidi="fr-FR"/>
        </w:rPr>
      </w:pPr>
      <w:r w:rsidRPr="00331ED1">
        <w:rPr>
          <w:szCs w:val="24"/>
          <w:lang w:eastAsia="fr-FR" w:bidi="fr-FR"/>
        </w:rPr>
        <w:t>LE PARLEMENT EUROPÉEN ET LE CONSEIL DE L'UNION EUROPÉENNE,</w:t>
      </w:r>
    </w:p>
    <w:p w:rsidR="002022AB" w:rsidRPr="00331ED1" w:rsidRDefault="002022AB" w:rsidP="00075179">
      <w:pPr>
        <w:spacing w:before="120" w:after="120" w:line="360" w:lineRule="auto"/>
        <w:rPr>
          <w:szCs w:val="24"/>
          <w:lang w:eastAsia="fr-FR" w:bidi="fr-FR"/>
        </w:rPr>
      </w:pPr>
      <w:r w:rsidRPr="00331ED1">
        <w:rPr>
          <w:szCs w:val="24"/>
          <w:lang w:eastAsia="fr-FR" w:bidi="fr-FR"/>
        </w:rPr>
        <w:t>vu le traité sur le fonctionnement de l'Union européenne, et notamment son article 185 et son article 188, deuxième alinéa,</w:t>
      </w:r>
    </w:p>
    <w:p w:rsidR="002022AB" w:rsidRPr="00331ED1" w:rsidRDefault="002022AB" w:rsidP="00075179">
      <w:pPr>
        <w:spacing w:before="120" w:after="120" w:line="360" w:lineRule="auto"/>
        <w:rPr>
          <w:szCs w:val="24"/>
          <w:lang w:eastAsia="fr-FR" w:bidi="fr-FR"/>
        </w:rPr>
      </w:pPr>
      <w:r w:rsidRPr="00331ED1">
        <w:rPr>
          <w:szCs w:val="24"/>
          <w:lang w:eastAsia="fr-FR" w:bidi="fr-FR"/>
        </w:rPr>
        <w:t>vu la proposition de la Commission européenne,</w:t>
      </w:r>
    </w:p>
    <w:p w:rsidR="002022AB" w:rsidRPr="00331ED1" w:rsidRDefault="002022AB" w:rsidP="00075179">
      <w:pPr>
        <w:spacing w:before="120" w:after="120" w:line="360" w:lineRule="auto"/>
        <w:rPr>
          <w:szCs w:val="24"/>
          <w:lang w:eastAsia="fr-FR" w:bidi="fr-FR"/>
        </w:rPr>
      </w:pPr>
      <w:r w:rsidRPr="00331ED1">
        <w:rPr>
          <w:szCs w:val="24"/>
          <w:lang w:eastAsia="fr-FR" w:bidi="fr-FR"/>
        </w:rPr>
        <w:t>après transmission du projet d'acte législatif aux parlements nationaux,</w:t>
      </w:r>
    </w:p>
    <w:p w:rsidR="002022AB" w:rsidRPr="00331ED1" w:rsidRDefault="002022AB" w:rsidP="00075179">
      <w:pPr>
        <w:spacing w:before="120" w:after="120" w:line="360" w:lineRule="auto"/>
        <w:rPr>
          <w:szCs w:val="24"/>
          <w:lang w:eastAsia="fr-FR" w:bidi="fr-FR"/>
        </w:rPr>
      </w:pPr>
      <w:r w:rsidRPr="00331ED1">
        <w:rPr>
          <w:szCs w:val="24"/>
          <w:lang w:eastAsia="fr-FR" w:bidi="fr-FR"/>
        </w:rPr>
        <w:t>vu l'avis du Comité économique et social européen</w:t>
      </w:r>
      <w:r w:rsidRPr="00331ED1">
        <w:rPr>
          <w:b/>
          <w:szCs w:val="24"/>
          <w:vertAlign w:val="superscript"/>
          <w:lang w:eastAsia="fr-FR" w:bidi="fr-FR"/>
        </w:rPr>
        <w:footnoteReference w:id="49"/>
      </w:r>
      <w:r w:rsidRPr="00331ED1">
        <w:rPr>
          <w:szCs w:val="24"/>
          <w:lang w:eastAsia="fr-FR" w:bidi="fr-FR"/>
        </w:rPr>
        <w:t xml:space="preserve"> ▌,</w:t>
      </w:r>
    </w:p>
    <w:p w:rsidR="002022AB" w:rsidRPr="00331ED1" w:rsidRDefault="002022AB" w:rsidP="00075179">
      <w:pPr>
        <w:spacing w:before="120" w:after="120" w:line="360" w:lineRule="auto"/>
        <w:rPr>
          <w:szCs w:val="24"/>
          <w:lang w:eastAsia="fr-FR" w:bidi="fr-FR"/>
        </w:rPr>
      </w:pPr>
      <w:r w:rsidRPr="00331ED1">
        <w:rPr>
          <w:szCs w:val="24"/>
          <w:lang w:eastAsia="fr-FR" w:bidi="fr-FR"/>
        </w:rPr>
        <w:t>statuant conformément à la procédure législative ordinaire</w:t>
      </w:r>
      <w:r w:rsidRPr="00331ED1">
        <w:rPr>
          <w:b/>
          <w:szCs w:val="24"/>
          <w:vertAlign w:val="superscript"/>
          <w:lang w:eastAsia="fr-FR" w:bidi="fr-FR"/>
        </w:rPr>
        <w:footnoteReference w:id="50"/>
      </w:r>
      <w:r w:rsidRPr="00331ED1">
        <w:rPr>
          <w:szCs w:val="24"/>
          <w:lang w:eastAsia="fr-FR" w:bidi="fr-FR"/>
        </w:rPr>
        <w:t>,</w:t>
      </w:r>
    </w:p>
    <w:p w:rsidR="002022AB" w:rsidRPr="00331ED1" w:rsidRDefault="002022AB" w:rsidP="00075179">
      <w:pPr>
        <w:spacing w:before="120" w:after="120" w:line="360" w:lineRule="auto"/>
        <w:rPr>
          <w:szCs w:val="24"/>
          <w:lang w:eastAsia="fr-FR" w:bidi="fr-FR"/>
        </w:rPr>
      </w:pPr>
      <w:r w:rsidRPr="00331ED1">
        <w:rPr>
          <w:szCs w:val="24"/>
          <w:lang w:eastAsia="fr-FR" w:bidi="fr-FR"/>
        </w:rPr>
        <w:br w:type="page"/>
        <w:t>considérant ce qui suit: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Dans sa communication du 3 mars 2010 intitulée "Europe 2020 – Une stratégie pour une croissance intelligente, durable et inclusive" (ci-après dénommée "stratégie Europe 2020"), la Commission a souligné la nécessité de mettre en place des conditions favorables à l'investissement dans les domaines de la connaissance et de l'innovation de manière à atteindre l'objectif d'une croissance intelligente, durable et inclusive dans l'Union. Tant le Parlement européen que le Conseil ont approuvé cette stratégie.</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Le règlement (UE) nº </w:t>
      </w:r>
      <w:r w:rsidRPr="00331ED1">
        <w:rPr>
          <w:b/>
          <w:i/>
          <w:color w:val="000000"/>
          <w:szCs w:val="24"/>
          <w:lang w:eastAsia="fr-FR" w:bidi="fr-FR"/>
        </w:rPr>
        <w:t>1291</w:t>
      </w:r>
      <w:r w:rsidRPr="00331ED1">
        <w:rPr>
          <w:szCs w:val="24"/>
          <w:lang w:eastAsia="fr-FR" w:bidi="fr-FR"/>
        </w:rPr>
        <w:t>/2013 du Parlement européen et du Conseil</w:t>
      </w:r>
      <w:r w:rsidRPr="00331ED1">
        <w:rPr>
          <w:b/>
          <w:i/>
          <w:szCs w:val="24"/>
          <w:vertAlign w:val="superscript"/>
          <w:lang w:eastAsia="fr-FR" w:bidi="fr-FR"/>
        </w:rPr>
        <w:footnoteReference w:id="51"/>
      </w:r>
      <w:r w:rsidRPr="00331ED1">
        <w:rPr>
          <w:szCs w:val="24"/>
          <w:lang w:eastAsia="fr-FR" w:bidi="fr-FR"/>
        </w:rPr>
        <w:t xml:space="preserve"> a établi le programme-cadre pour la recherche et l'innovation "Horizon 2020" (2014-2020) (ci-après dénommé "Horizon 2020"). Horizon 2020 vise à obtenir un impact plus important sur la recherche et l'innovation en contribuant au renforcement des partenariats public-public, y compris à travers la participation de l'Union aux programmes entrepris par plusieurs États membres conformément à l'article 185 du traité sur le fonctionnement de l'Union européenne.</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(3)</w:t>
      </w:r>
      <w:r w:rsidRPr="00331ED1">
        <w:rPr>
          <w:szCs w:val="24"/>
          <w:lang w:eastAsia="fr-FR" w:bidi="fr-FR"/>
        </w:rPr>
        <w:tab/>
      </w:r>
      <w:r w:rsidRPr="00331ED1">
        <w:rPr>
          <w:b/>
          <w:i/>
          <w:color w:val="000000"/>
          <w:szCs w:val="24"/>
          <w:lang w:eastAsia="fr-FR" w:bidi="fr-FR"/>
        </w:rPr>
        <w:t>Les partenariats public-public devraient viser à créer des synergies plus étroites, à améliorer la coordination et à éviter les doubles emplois avec les programmes de recherche de l'Union, ainsi qu'avec les programmes de recherche internationaux, nationaux et régionaux, et ils devraient respecter pleinement les principes généraux d'Horizon 2020, en particulier ceux relatifs à l'ouverture et à la transparence. En outre, il convient d'assurer le libre accès aux publications scientifiques.</w:t>
      </w:r>
    </w:p>
    <w:p w:rsidR="002022AB" w:rsidRPr="00331ED1" w:rsidRDefault="002022AB" w:rsidP="00075179">
      <w:pPr>
        <w:tabs>
          <w:tab w:val="left" w:pos="840"/>
        </w:tabs>
        <w:spacing w:before="120" w:after="120" w:line="360" w:lineRule="auto"/>
        <w:ind w:left="851" w:hanging="851"/>
        <w:rPr>
          <w:szCs w:val="24"/>
          <w:lang w:eastAsia="fr-FR" w:bidi="fr-FR"/>
        </w:rPr>
      </w:pPr>
      <w:r w:rsidRPr="00331ED1">
        <w:rPr>
          <w:szCs w:val="24"/>
          <w:lang w:eastAsia="fr-FR" w:bidi="fr-FR"/>
        </w:rPr>
        <w:t>(4)</w:t>
      </w:r>
      <w:r w:rsidRPr="00331ED1">
        <w:rPr>
          <w:szCs w:val="24"/>
          <w:lang w:eastAsia="fr-FR" w:bidi="fr-FR"/>
        </w:rPr>
        <w:tab/>
        <w:t>Par la décision nº 1209/2003/CE du Parlement européen et du Conseil</w:t>
      </w:r>
      <w:r w:rsidRPr="00331ED1">
        <w:rPr>
          <w:b/>
          <w:szCs w:val="24"/>
          <w:vertAlign w:val="superscript"/>
          <w:lang w:eastAsia="fr-FR" w:bidi="fr-FR"/>
        </w:rPr>
        <w:footnoteReference w:id="52"/>
      </w:r>
      <w:r w:rsidRPr="00331ED1">
        <w:rPr>
          <w:szCs w:val="24"/>
          <w:lang w:eastAsia="fr-FR" w:bidi="fr-FR"/>
        </w:rPr>
        <w:t>, la Communauté a décidé d'apporter au partenariat des pays européens et en développement sur les essais cliniques (ci-après dénommé "EDCTP-I") une contribution financière équivalente à celle des États participants, mais n'excédant pas 200 000 000 EUR, pour la durée du sixième programme-cadre de la Communauté européenne pour des actions de recherche, de développement technologique et de démonstration contribuant à la réalisation de l'espace européen de la recherche et à l'innovation (2002-2006) établi par la décision nº 1513/2002/CE du Parlement européen et du Conseil</w:t>
      </w:r>
      <w:r w:rsidRPr="00331ED1">
        <w:rPr>
          <w:b/>
          <w:szCs w:val="24"/>
          <w:vertAlign w:val="superscript"/>
          <w:lang w:eastAsia="fr-FR" w:bidi="fr-FR"/>
        </w:rPr>
        <w:footnoteReference w:id="53"/>
      </w:r>
      <w:r w:rsidRPr="00331ED1">
        <w:rPr>
          <w:szCs w:val="24"/>
          <w:lang w:eastAsia="fr-FR" w:bidi="fr-FR"/>
        </w:rPr>
        <w:t>. L'EDCTP-I a également été soutenu dans le cadre du septième programme-cadre de la Communauté européenne pour des actions de recherche, de développement technologique et de démonstration (2007-2013) établi par la décision nº 1982/2006/CE du Parlement européen et du Conseil</w:t>
      </w:r>
      <w:r w:rsidRPr="00331ED1">
        <w:rPr>
          <w:b/>
          <w:szCs w:val="24"/>
          <w:vertAlign w:val="superscript"/>
          <w:lang w:eastAsia="fr-FR" w:bidi="fr-FR"/>
        </w:rPr>
        <w:footnoteReference w:id="54"/>
      </w:r>
      <w:r w:rsidRPr="00331ED1">
        <w:rPr>
          <w:szCs w:val="24"/>
          <w:lang w:eastAsia="fr-FR" w:bidi="fr-FR"/>
        </w:rPr>
        <w: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(5)</w:t>
      </w:r>
      <w:r w:rsidRPr="00331ED1">
        <w:rPr>
          <w:szCs w:val="24"/>
          <w:lang w:eastAsia="fr-FR" w:bidi="fr-FR"/>
        </w:rPr>
        <w:tab/>
        <w:t>En 2009, des experts indépendants ont adopté le rapport de l'évaluation intermédiaire de l'EDCTP-I</w:t>
      </w:r>
      <w:r w:rsidRPr="00331ED1">
        <w:rPr>
          <w:b/>
          <w:szCs w:val="24"/>
          <w:vertAlign w:val="superscript"/>
          <w:lang w:eastAsia="fr-FR" w:bidi="fr-FR"/>
        </w:rPr>
        <w:footnoteReference w:id="55"/>
      </w:r>
      <w:r w:rsidRPr="00331ED1">
        <w:rPr>
          <w:szCs w:val="24"/>
          <w:lang w:eastAsia="fr-FR" w:bidi="fr-FR"/>
        </w:rPr>
        <w:t xml:space="preserve">. Le panel d'experts a estimé que l'EDCTP-I fournissait une plateforme unique pour un véritable dialogue avec les scientifiques africains, et qu'il avait commencé à combler l'écart séparant le Nord et le Sud en créant des capacités de recherche et en fournissant aux jeunes chercheurs africains des possibilités d'apprentissage et des perspectives d'emploi. À la suite de ce rapport, des questions fondamentales sont à prendre en considération en vue d'un second programme "partenariat des pays européens et en développement sur les essais cliniques" (ci-après dénommé "programme EDCTP-II"): le champ d'application actuel de l'EDCTP-I doit être modifié et étendu; </w:t>
      </w:r>
      <w:r w:rsidRPr="00331ED1">
        <w:rPr>
          <w:b/>
          <w:i/>
          <w:color w:val="000000"/>
          <w:szCs w:val="24"/>
          <w:lang w:eastAsia="fr-FR" w:bidi="fr-FR"/>
        </w:rPr>
        <w:t>les capacités existant dans les pays en développement pour une conduite et une gestion rigoureuses des essais cliniques devraient être, lorsque cela est nécessaire, développées davantage et renforcées, en particulier le rôle et la mise en place de comités d'éthique et du cadre réglementaire correspondant, la coordination, la collaboration et, le cas échéant,</w:t>
      </w:r>
      <w:r w:rsidRPr="00331ED1">
        <w:rPr>
          <w:szCs w:val="24"/>
          <w:lang w:eastAsia="fr-FR" w:bidi="fr-FR"/>
        </w:rPr>
        <w:t xml:space="preserve"> l'intégration de programmes nationaux européens devrait être encore améliorée; la collaboration avec d'autres grands </w:t>
      </w:r>
      <w:r w:rsidRPr="00331ED1">
        <w:rPr>
          <w:b/>
          <w:i/>
          <w:color w:val="000000"/>
          <w:szCs w:val="24"/>
          <w:lang w:eastAsia="fr-FR" w:bidi="fr-FR"/>
        </w:rPr>
        <w:t>partenaires</w:t>
      </w:r>
      <w:r w:rsidRPr="00331ED1">
        <w:rPr>
          <w:szCs w:val="24"/>
          <w:lang w:eastAsia="fr-FR" w:bidi="fr-FR"/>
        </w:rPr>
        <w:t xml:space="preserve"> publics et privés, y compris l'industrie pharmaceutique,</w:t>
      </w:r>
      <w:r w:rsidRPr="00331ED1">
        <w:rPr>
          <w:b/>
          <w:i/>
          <w:color w:val="000000"/>
          <w:szCs w:val="24"/>
          <w:lang w:eastAsia="fr-FR" w:bidi="fr-FR"/>
        </w:rPr>
        <w:t xml:space="preserve"> et les partenariats public-privé tels que les partenariats de développement de produits (PDP), la société civile, les organisations non gouvernementales et les fondations,</w:t>
      </w:r>
      <w:r w:rsidRPr="00331ED1">
        <w:rPr>
          <w:szCs w:val="24"/>
          <w:lang w:eastAsia="fr-FR" w:bidi="fr-FR"/>
        </w:rPr>
        <w:t xml:space="preserve"> doivent être renforcés et élargis; </w:t>
      </w:r>
      <w:r w:rsidRPr="00331ED1">
        <w:rPr>
          <w:b/>
          <w:i/>
          <w:color w:val="000000"/>
          <w:szCs w:val="24"/>
          <w:lang w:eastAsia="fr-FR" w:bidi="fr-FR"/>
        </w:rPr>
        <w:t>il convient de prévoir des règles de gouvernance claires et transparentes</w:t>
      </w:r>
      <w:r w:rsidRPr="00331ED1">
        <w:rPr>
          <w:szCs w:val="24"/>
          <w:lang w:eastAsia="fr-FR" w:bidi="fr-FR"/>
        </w:rPr>
        <w:t xml:space="preserve">; des synergies avec des actions de politique extérieure européenne devraient être élaborées </w:t>
      </w:r>
      <w:r w:rsidRPr="00331ED1">
        <w:rPr>
          <w:b/>
          <w:i/>
          <w:color w:val="000000"/>
          <w:szCs w:val="24"/>
          <w:lang w:eastAsia="fr-FR" w:bidi="fr-FR"/>
        </w:rPr>
        <w:t>spécifiquement</w:t>
      </w:r>
      <w:r w:rsidRPr="00331ED1">
        <w:rPr>
          <w:szCs w:val="24"/>
          <w:lang w:eastAsia="fr-FR" w:bidi="fr-FR"/>
        </w:rPr>
        <w:t xml:space="preserve"> avec les l'aide au développement de l'Union; les règles de cofinancement devraient être clarifiées et simplifiées; et les instruments de suivi doivent être renforcés. </w:t>
      </w:r>
      <w:r w:rsidRPr="00331ED1">
        <w:rPr>
          <w:szCs w:val="24"/>
          <w:lang w:eastAsia="fr-FR" w:bidi="fr-FR"/>
        </w:rPr>
        <w:br/>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(6)</w:t>
      </w:r>
      <w:r w:rsidRPr="00331ED1">
        <w:rPr>
          <w:szCs w:val="24"/>
          <w:lang w:eastAsia="fr-FR" w:bidi="fr-FR"/>
        </w:rPr>
        <w:tab/>
        <w:t xml:space="preserve">En vertu de la décision </w:t>
      </w:r>
      <w:r w:rsidRPr="00331ED1">
        <w:rPr>
          <w:b/>
          <w:i/>
          <w:szCs w:val="24"/>
          <w:lang w:eastAsia="fr-FR" w:bidi="fr-FR"/>
        </w:rPr>
        <w:t>2013/743/</w:t>
      </w:r>
      <w:r w:rsidRPr="00331ED1">
        <w:rPr>
          <w:szCs w:val="24"/>
          <w:lang w:eastAsia="fr-FR" w:bidi="fr-FR"/>
        </w:rPr>
        <w:t>UE du Conseil</w:t>
      </w:r>
      <w:r w:rsidRPr="00331ED1">
        <w:rPr>
          <w:b/>
          <w:i/>
          <w:szCs w:val="24"/>
          <w:vertAlign w:val="superscript"/>
          <w:lang w:eastAsia="fr-FR" w:bidi="fr-FR"/>
        </w:rPr>
        <w:footnoteReference w:id="56"/>
      </w:r>
      <w:r w:rsidRPr="00331ED1">
        <w:rPr>
          <w:szCs w:val="24"/>
          <w:lang w:eastAsia="fr-FR" w:bidi="fr-FR"/>
        </w:rPr>
        <w:t>, le programme EDCTP-II peut continuer à bénéficier d'un soutien.</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(7)</w:t>
      </w:r>
      <w:r w:rsidRPr="00331ED1">
        <w:rPr>
          <w:szCs w:val="24"/>
          <w:lang w:eastAsia="fr-FR" w:bidi="fr-FR"/>
        </w:rPr>
        <w:tab/>
      </w:r>
      <w:r w:rsidRPr="00331ED1">
        <w:rPr>
          <w:b/>
          <w:i/>
          <w:color w:val="000000"/>
          <w:szCs w:val="24"/>
          <w:lang w:eastAsia="fr-FR" w:bidi="fr-FR"/>
        </w:rPr>
        <w:t>L'Union est un bailleur de fonds majeur pour la recherche sur les maladies liées à la pauvreté et les maladies infectieuses négligées. La Commission et les États membres contribuent à près d'un quart (22 %) des investissements réalisés par les gouvernements en la matière au niveau mondial. En outre, l'Union est un acteur majeur en matière de santé mondiale. À titre d'exemple, la Commission et les États membres fournissent environ la moitié du financement du Fonds mondial de lutte contre le sida, la tuberculose et le paludisme.</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(8)</w:t>
      </w:r>
      <w:r w:rsidRPr="00331ED1">
        <w:rPr>
          <w:szCs w:val="24"/>
          <w:lang w:eastAsia="fr-FR" w:bidi="fr-FR"/>
        </w:rPr>
        <w:tab/>
        <w:t>L'EDCTP-I a enregistré des résultats importants et a développé à ce jour huit traitements médicaux améliorés, notamment pour les nouveau-nés, les enfants et les femmes enceintes ou allaitantes atteints du VIH/sida ou du paludisme.</w:t>
      </w:r>
      <w:r w:rsidRPr="00331ED1">
        <w:rPr>
          <w:b/>
          <w:sz w:val="20"/>
          <w:szCs w:val="24"/>
          <w:lang w:eastAsia="fr-FR" w:bidi="fr-FR"/>
        </w:rPr>
        <w:t xml:space="preserve"> </w:t>
      </w:r>
      <w:r w:rsidRPr="00331ED1">
        <w:rPr>
          <w:szCs w:val="24"/>
          <w:lang w:eastAsia="fr-FR" w:bidi="fr-FR"/>
        </w:rPr>
        <w:t>Il s'est traduit par le lancement des quatre premiers réseaux d'excellence régionaux africains encourageant la coopération Sud-Sud en matière de recherche clinique, ainsi que par la formation de plus de 400 chercheurs africains. Il a également contribué à la mise en place du registre panafricain des essais cliniques et du Forum africain pour la réglementation des vaccins.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(9)</w:t>
      </w:r>
      <w:r w:rsidRPr="00331ED1">
        <w:rPr>
          <w:szCs w:val="24"/>
          <w:lang w:eastAsia="fr-FR" w:bidi="fr-FR"/>
        </w:rPr>
        <w:tab/>
        <w:t xml:space="preserve">En dépit de l'importance des résultats et réalisations de l'EDCTP-I, les maladies liées à la pauvreté constituent toujours un obstacle majeur au développement durable des pays en développement, en particulier en Afrique subsaharienne, en raison du fardeau socioéconomique qu'elles représentent. Des traitements médicaux efficaces, sûrs, </w:t>
      </w:r>
      <w:r w:rsidRPr="00331ED1">
        <w:rPr>
          <w:b/>
          <w:i/>
          <w:color w:val="000000"/>
          <w:szCs w:val="24"/>
          <w:lang w:eastAsia="fr-FR" w:bidi="fr-FR"/>
        </w:rPr>
        <w:t>adéquats</w:t>
      </w:r>
      <w:r w:rsidRPr="00331ED1">
        <w:rPr>
          <w:szCs w:val="24"/>
          <w:lang w:eastAsia="fr-FR" w:bidi="fr-FR"/>
        </w:rPr>
        <w:t xml:space="preserve">, abordables et </w:t>
      </w:r>
      <w:r w:rsidRPr="00331ED1">
        <w:rPr>
          <w:b/>
          <w:i/>
          <w:color w:val="000000"/>
          <w:szCs w:val="24"/>
          <w:lang w:eastAsia="fr-FR" w:bidi="fr-FR"/>
        </w:rPr>
        <w:t>adaptés aux circonstances spécifiques des pays en développement</w:t>
      </w:r>
      <w:r w:rsidRPr="00331ED1">
        <w:rPr>
          <w:szCs w:val="24"/>
          <w:lang w:eastAsia="fr-FR" w:bidi="fr-FR"/>
        </w:rPr>
        <w:t xml:space="preserve"> font encore défaut pour la plupart des maladies liées à la pauvreté, et les investissements dans la recherche clinique restent inadéquats étant donné que la conduite d'essais cliniques est coûteuse et que le retour sur investissements est limité en raison de la défaillance du marché. </w:t>
      </w:r>
      <w:r w:rsidRPr="00331ED1">
        <w:rPr>
          <w:b/>
          <w:i/>
          <w:color w:val="000000"/>
          <w:szCs w:val="24"/>
          <w:lang w:eastAsia="fr-FR" w:bidi="fr-FR"/>
        </w:rPr>
        <w:t xml:space="preserve">Il convient de souligner que seuls 10 % des fonds mondiaux consacrés à la recherche sont alloués à des maladies qui représentent 90 % des pathologies dans le monde. </w:t>
      </w:r>
      <w:r w:rsidRPr="00331ED1">
        <w:rPr>
          <w:szCs w:val="24"/>
          <w:lang w:eastAsia="fr-FR" w:bidi="fr-FR"/>
        </w:rPr>
        <w:t>En outre, les activités et les programmes de recherche européens sont encore souvent fragmentés et sont donc de taille sous-critique ou se chevauchent, alors que les capacités et les investissements en matière de recherche dans les pays en développement sont inadéquats.</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(10)</w:t>
      </w:r>
      <w:r w:rsidRPr="00331ED1">
        <w:rPr>
          <w:szCs w:val="24"/>
          <w:lang w:eastAsia="fr-FR" w:bidi="fr-FR"/>
        </w:rPr>
        <w:tab/>
      </w:r>
      <w:r w:rsidRPr="00331ED1">
        <w:rPr>
          <w:b/>
          <w:i/>
          <w:color w:val="000000"/>
          <w:szCs w:val="24"/>
          <w:lang w:eastAsia="fr-FR" w:bidi="fr-FR"/>
        </w:rPr>
        <w:t>L'aide à la lutte contre les maladies liées à la pauvreté contribuerait également à prémunir les citoyens européens contre ces maladies, dans la mesure où l'augmentation de la mobilité à l'échelle mondiale (y compris le tourisme), les mouvements migratoires et les changements dans la localisation géographique de ces maladies signifient que l'Europe peut être confrontée à des défis liés à l'apparition ou à la réapparition de ces maladies.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(11)</w:t>
      </w:r>
      <w:r w:rsidRPr="00331ED1">
        <w:rPr>
          <w:szCs w:val="24"/>
          <w:lang w:eastAsia="fr-FR" w:bidi="fr-FR"/>
        </w:rPr>
        <w:tab/>
        <w:t>Le 15 juin 2010, le Parlement européen a adopté une résolution sur les progrès en vue de la réalisation des objectifs du Millénaire pour le développement (OMD) dans la perspective de la réunion de haut niveau des Nations unies en septembre 2010, dans laquelle il demandait à la Commission, aux États membres et aux pays en développement de s'attaquer à l'OMD 5 (amélioration de la santé maternelle), l'OMD 4 (réduire la mortalité infantile) et l'OMD 6 (combattre le VIH/sida, le paludisme et la tuberculose) de façon cohérente et globale.</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(12)</w:t>
      </w:r>
      <w:r w:rsidRPr="00331ED1">
        <w:rPr>
          <w:szCs w:val="24"/>
          <w:lang w:eastAsia="fr-FR" w:bidi="fr-FR"/>
        </w:rPr>
        <w:tab/>
        <w:t>L'Union s'est engagée à mettre en œuvre les conclusions de la conférence Rio+ 20 de 2012 sur le développement et la réalisation d'objectifs de développement durable (ODD) adoptés au niveau international, qui font suite aux OMD et les intègrent.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(13)</w:t>
      </w:r>
      <w:r w:rsidRPr="00331ED1">
        <w:rPr>
          <w:szCs w:val="24"/>
          <w:lang w:eastAsia="fr-FR" w:bidi="fr-FR"/>
        </w:rPr>
        <w:tab/>
        <w:t>En 2000, l'Union a lancé un dialogue politique de haut niveau avec l'Afrique en vue de l'établissement d'un partenariat stratégique Afrique-UE, à la suite duquel une stratégie commune Afrique-UE a été adoptée en 2007 et un dialogue politique de haut niveau pour la science, la technologie et l'innovation a été instauré en 2011.</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(14)</w:t>
      </w:r>
      <w:r w:rsidRPr="00331ED1">
        <w:rPr>
          <w:szCs w:val="24"/>
          <w:lang w:eastAsia="fr-FR" w:bidi="fr-FR"/>
        </w:rPr>
        <w:tab/>
        <w:t>Le 31 mars 2010, la Commission a présenté une communication sur le rôle de l'Union dans la santé mondiale, qui plaidait en faveur d'une approche plus coordonnée entre les États membres et dans les politiques concernées afin de dégager et de traiter conjointement des priorités mondiales communes pour la recherche en matière de santé.</w:t>
      </w:r>
      <w:r w:rsidRPr="00331ED1">
        <w:rPr>
          <w:b/>
          <w:i/>
          <w:color w:val="000000"/>
          <w:szCs w:val="24"/>
          <w:lang w:eastAsia="fr-FR" w:bidi="fr-FR"/>
        </w:rPr>
        <w:t xml:space="preserve"> Dans cette </w:t>
      </w:r>
      <w:r w:rsidRPr="00331ED1">
        <w:rPr>
          <w:b/>
          <w:bCs/>
          <w:i/>
          <w:iCs/>
          <w:szCs w:val="24"/>
          <w:lang w:eastAsia="fr-FR" w:bidi="fr-FR"/>
        </w:rPr>
        <w:t>communication</w:t>
      </w:r>
      <w:r w:rsidRPr="00331ED1">
        <w:rPr>
          <w:szCs w:val="24"/>
          <w:lang w:eastAsia="fr-FR" w:bidi="fr-FR"/>
        </w:rPr>
        <w:t xml:space="preserve">, </w:t>
      </w:r>
      <w:r w:rsidRPr="00331ED1">
        <w:rPr>
          <w:b/>
          <w:i/>
          <w:color w:val="000000"/>
          <w:szCs w:val="24"/>
          <w:lang w:eastAsia="fr-FR" w:bidi="fr-FR"/>
        </w:rPr>
        <w:t>la Commission a également rappelé la nécessité de promouvoir une couverture équitable et universelle de services de santé de qualité, ainsi qu'un financement efficace et équitable d'une recherche mise au service de la santé de chacun.</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(15)</w:t>
      </w:r>
      <w:r w:rsidRPr="00331ED1">
        <w:rPr>
          <w:szCs w:val="24"/>
          <w:lang w:eastAsia="fr-FR" w:bidi="fr-FR"/>
        </w:rPr>
        <w:tab/>
      </w:r>
      <w:r w:rsidRPr="00331ED1">
        <w:rPr>
          <w:b/>
          <w:i/>
          <w:color w:val="000000"/>
          <w:szCs w:val="24"/>
          <w:lang w:eastAsia="fr-FR" w:bidi="fr-FR"/>
        </w:rPr>
        <w:t>Dans ses conclusions du 10 mai 2010 sur le rôle de l'Union dans le domaine de la santé mondiale, le Conseil a invité l'Union à promouvoir un financement efficace et équitable d'une recherche qui soit mise au service de la santé de chacun et garantisse que les innovations et les interventions permettent à des solutions abordables et accessibles de voir le jour. En particulier, il convient d'explorer les modèles qui dissocient le coût de la recherche et développement (R&amp;D) et le prix des médicaments, y compris les possibilités d'assurer des transferts de technologies vers les pays en développement.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(16)</w:t>
      </w:r>
      <w:r w:rsidRPr="00331ED1">
        <w:rPr>
          <w:szCs w:val="24"/>
          <w:lang w:eastAsia="fr-FR" w:bidi="fr-FR"/>
        </w:rPr>
        <w:tab/>
        <w:t>Dans sa communication du 21 septembre 2011 sur le partenariat pour la recherche et l'innovation, la Commission a placé les partenariats par-delà les limites institutionnelles, nationales et continentales, au cœur de la politique de recherche de l'Union.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r>
      <w:r w:rsidRPr="00331ED1">
        <w:rPr>
          <w:b/>
          <w:i/>
          <w:color w:val="000000"/>
          <w:szCs w:val="24"/>
          <w:lang w:eastAsia="fr-FR" w:bidi="fr-FR"/>
        </w:rPr>
        <w:t>(17)</w:t>
      </w:r>
      <w:r w:rsidRPr="00331ED1">
        <w:rPr>
          <w:szCs w:val="24"/>
          <w:lang w:eastAsia="fr-FR" w:bidi="fr-FR"/>
        </w:rPr>
        <w:tab/>
      </w:r>
      <w:r w:rsidRPr="00331ED1">
        <w:rPr>
          <w:b/>
          <w:i/>
          <w:color w:val="000000"/>
          <w:szCs w:val="24"/>
          <w:lang w:eastAsia="fr-FR" w:bidi="fr-FR"/>
        </w:rPr>
        <w:t>Dans sa communication du 27 février 2013, intitulée "Une vie décente pour tous: éradiquer la pauvreté et offrir au monde un avenir durable", la Commission a réaffirmé son engagement à tout faire pour contribuer à la réalisation des OMD d'ici à 2015, et a souligné que la recherche financée par l'Union dans le cadre de l'EDCTP-I avait contribué à la réalisation des OMD.</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(18)</w:t>
      </w:r>
      <w:r w:rsidRPr="00331ED1">
        <w:rPr>
          <w:szCs w:val="24"/>
          <w:lang w:eastAsia="fr-FR" w:bidi="fr-FR"/>
        </w:rPr>
        <w:tab/>
        <w:t>Conformément aux objectifs d'Horizon 2020, tout État membre et tout pays associé à Horizon 2020 devraient avoir le droit de participer au programme EDCTP-II.</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(19)</w:t>
      </w:r>
      <w:r w:rsidRPr="00331ED1">
        <w:rPr>
          <w:szCs w:val="24"/>
          <w:lang w:eastAsia="fr-FR" w:bidi="fr-FR"/>
        </w:rPr>
        <w:tab/>
      </w:r>
      <w:r w:rsidRPr="00331ED1">
        <w:rPr>
          <w:b/>
          <w:i/>
          <w:szCs w:val="24"/>
          <w:lang w:eastAsia="fr-FR" w:bidi="fr-FR"/>
        </w:rPr>
        <w:t>Il convient d'envisager</w:t>
      </w:r>
      <w:r w:rsidRPr="00331ED1">
        <w:rPr>
          <w:szCs w:val="24"/>
          <w:lang w:eastAsia="fr-FR" w:bidi="fr-FR"/>
        </w:rPr>
        <w:t xml:space="preserve"> </w:t>
      </w:r>
      <w:r w:rsidRPr="00331ED1">
        <w:rPr>
          <w:b/>
          <w:i/>
          <w:szCs w:val="24"/>
          <w:lang w:eastAsia="fr-FR" w:bidi="fr-FR"/>
        </w:rPr>
        <w:t>une</w:t>
      </w:r>
      <w:r w:rsidRPr="00331ED1">
        <w:rPr>
          <w:b/>
          <w:i/>
          <w:color w:val="000000"/>
          <w:szCs w:val="24"/>
          <w:lang w:eastAsia="fr-FR" w:bidi="fr-FR"/>
        </w:rPr>
        <w:t xml:space="preserve"> contribution à l'étude de modèles d'innovation ouverts pour la recherche axée sur les besoins, et des résultats disponibles et abordables conformes à d'autres engagements pris par l'Union dans le domaine de la recherche et du développement.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(20)</w:t>
      </w:r>
      <w:r w:rsidRPr="00331ED1">
        <w:rPr>
          <w:szCs w:val="24"/>
          <w:lang w:eastAsia="fr-FR" w:bidi="fr-FR"/>
        </w:rPr>
        <w:tab/>
        <w:t>Les États participants ont l'intention de contribuer à la mise en œuvre du programme EDCTP-II pendant la période couverte par ce programme, à savoir la période 2014–2024.</w:t>
      </w:r>
      <w:r w:rsidRPr="00331ED1">
        <w:rPr>
          <w:b/>
          <w:i/>
          <w:color w:val="000000"/>
          <w:szCs w:val="24"/>
          <w:lang w:eastAsia="fr-FR" w:bidi="fr-FR"/>
        </w:rPr>
        <w:t xml:space="preserve"> Afin de tenir compte de la durée d'Horizon 2020, les appels à propositions au titre du programme </w:t>
      </w:r>
      <w:r w:rsidRPr="00331ED1">
        <w:rPr>
          <w:b/>
          <w:bCs/>
          <w:i/>
          <w:iCs/>
          <w:szCs w:val="24"/>
          <w:lang w:eastAsia="fr-FR" w:bidi="fr-FR"/>
        </w:rPr>
        <w:t>EDCTP-II</w:t>
      </w:r>
      <w:r w:rsidRPr="00331ED1">
        <w:rPr>
          <w:szCs w:val="24"/>
          <w:lang w:eastAsia="fr-FR" w:bidi="fr-FR"/>
        </w:rPr>
        <w:t xml:space="preserve"> </w:t>
      </w:r>
      <w:r w:rsidRPr="00331ED1">
        <w:rPr>
          <w:b/>
          <w:i/>
          <w:color w:val="000000"/>
          <w:szCs w:val="24"/>
          <w:lang w:eastAsia="fr-FR" w:bidi="fr-FR"/>
        </w:rPr>
        <w:t>devraient être lancés d'ici au 31 décembre 2020 au plus tard. Dans des cas dûment justifiés, ils peuvent être lancés d'ici au 31 décembre 2021 au plus tard.</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(21)</w:t>
      </w:r>
      <w:r w:rsidRPr="00331ED1">
        <w:rPr>
          <w:szCs w:val="24"/>
          <w:lang w:eastAsia="fr-FR" w:bidi="fr-FR"/>
        </w:rPr>
        <w:tab/>
        <w:t xml:space="preserve">Un plafond devrait être fixé pour la participation financière de l'Union au programme EDCTP-II pour la durée d'Horizon 2020. Dans la limite de ce plafond, la contribution de l'Union devrait être égale à celle </w:t>
      </w:r>
      <w:r w:rsidRPr="00331ED1">
        <w:rPr>
          <w:color w:val="000000"/>
          <w:szCs w:val="24"/>
          <w:lang w:eastAsia="fr-FR" w:bidi="fr-FR"/>
        </w:rPr>
        <w:t>▌</w:t>
      </w:r>
      <w:r w:rsidRPr="00331ED1">
        <w:rPr>
          <w:szCs w:val="24"/>
          <w:lang w:eastAsia="fr-FR" w:bidi="fr-FR"/>
        </w:rPr>
        <w:t xml:space="preserve"> </w:t>
      </w:r>
      <w:r w:rsidRPr="00331ED1">
        <w:rPr>
          <w:b/>
          <w:i/>
          <w:szCs w:val="24"/>
          <w:lang w:eastAsia="fr-FR" w:bidi="fr-FR"/>
        </w:rPr>
        <w:t>des États visés dans la présente décision</w:t>
      </w:r>
      <w:r w:rsidRPr="00331ED1">
        <w:rPr>
          <w:szCs w:val="24"/>
          <w:lang w:eastAsia="fr-FR" w:bidi="fr-FR"/>
        </w:rPr>
        <w:t xml:space="preserve"> afin d'obtenir un effet de levier important et d'assurer une intégration plus poussée </w:t>
      </w:r>
      <w:r w:rsidRPr="00331ED1">
        <w:rPr>
          <w:b/>
          <w:i/>
          <w:color w:val="000000"/>
          <w:szCs w:val="24"/>
          <w:lang w:eastAsia="fr-FR" w:bidi="fr-FR"/>
        </w:rPr>
        <w:t>des programmes de ces États</w:t>
      </w:r>
      <w:r w:rsidRPr="00331ED1">
        <w:rPr>
          <w:szCs w:val="24"/>
          <w:lang w:eastAsia="fr-FR" w:bidi="fr-FR"/>
        </w:rPr>
        <w:t xml:space="preserve">. </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(22)</w:t>
      </w:r>
      <w:r w:rsidRPr="00331ED1">
        <w:rPr>
          <w:szCs w:val="24"/>
          <w:lang w:eastAsia="fr-FR" w:bidi="fr-FR"/>
        </w:rPr>
        <w:tab/>
        <w:t xml:space="preserve">La contribution financière de l'Union devrait être subordonnée à des engagements formels de la part des États participants de contribuer à la mise en œuvre du programme EDCTP-II et à l'exécution de ces engagements. </w:t>
      </w:r>
    </w:p>
    <w:p w:rsidR="002022AB" w:rsidRPr="00331ED1" w:rsidRDefault="002022AB" w:rsidP="00075179">
      <w:pPr>
        <w:spacing w:before="120" w:after="120" w:line="360" w:lineRule="auto"/>
        <w:ind w:left="851" w:hanging="851"/>
        <w:rPr>
          <w:szCs w:val="24"/>
          <w:lang w:eastAsia="fr-FR" w:bidi="fr-FR"/>
        </w:rPr>
      </w:pPr>
      <w:r w:rsidRPr="00331ED1" w:rsidDel="00BB54F7">
        <w:rPr>
          <w:b/>
          <w:i/>
          <w:color w:val="000000"/>
          <w:szCs w:val="24"/>
          <w:lang w:eastAsia="fr-FR" w:bidi="fr-FR"/>
        </w:rPr>
        <w:t xml:space="preserve"> </w:t>
      </w:r>
      <w:r w:rsidRPr="00331ED1">
        <w:rPr>
          <w:szCs w:val="24"/>
          <w:lang w:eastAsia="fr-FR" w:bidi="fr-FR"/>
        </w:rPr>
        <w: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(23)</w:t>
      </w:r>
      <w:r w:rsidRPr="00331ED1">
        <w:rPr>
          <w:szCs w:val="24"/>
          <w:lang w:eastAsia="fr-FR" w:bidi="fr-FR"/>
        </w:rPr>
        <w:tab/>
        <w:t>La mise en œuvre conjointe du programme EDCTP-II exige une structure d'exécution. Les États participants sont convenus d'une telle structure d'exécution et ont créé la structure d'exécution du programme EDCTP-II (ci-après dénommée "EDCTP-II-IS"). L'EDCTP-II-IS devrait être le bénéficiaire de la contribution financière de l'Union et assurer la mise en œuvre efficace du programme 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r>
      <w:r w:rsidRPr="00331ED1">
        <w:rPr>
          <w:b/>
          <w:i/>
          <w:color w:val="000000"/>
          <w:szCs w:val="24"/>
          <w:lang w:eastAsia="fr-FR" w:bidi="fr-FR"/>
        </w:rPr>
        <w:t xml:space="preserve">(24) </w:t>
      </w:r>
      <w:r w:rsidRPr="00331ED1">
        <w:rPr>
          <w:szCs w:val="24"/>
          <w:lang w:eastAsia="fr-FR" w:bidi="fr-FR"/>
        </w:rPr>
        <w:tab/>
      </w:r>
      <w:r w:rsidRPr="00331ED1">
        <w:rPr>
          <w:b/>
          <w:i/>
          <w:color w:val="000000"/>
          <w:szCs w:val="24"/>
          <w:lang w:eastAsia="fr-FR" w:bidi="fr-FR"/>
        </w:rPr>
        <w:t>Les activités menées au titre du programme EDCTP-II devraient être conformes aux objectifs et aux priorités en matière de recherche et d'innovation d'Horizon 2020, ainsi qu'aux conditions et principes généraux prévus à l'article 26 du règlement (UE) n° 1291/2013.</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(25)</w:t>
      </w:r>
      <w:r w:rsidRPr="00331ED1">
        <w:rPr>
          <w:szCs w:val="24"/>
          <w:lang w:eastAsia="fr-FR" w:bidi="fr-FR"/>
        </w:rPr>
        <w:tab/>
      </w:r>
      <w:r w:rsidRPr="00331ED1">
        <w:rPr>
          <w:b/>
          <w:i/>
          <w:color w:val="000000"/>
          <w:szCs w:val="24"/>
          <w:lang w:eastAsia="fr-FR" w:bidi="fr-FR"/>
        </w:rPr>
        <w:t xml:space="preserve">Il convient également de publier les appels à propositions lancés par le programme EDCTP-II-IS sur le portail unique des participants, ainsi que par d'autres moyens de diffusion électroniques dans le cadre d'Horizon 2020 gérés par la Commission. </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(26)</w:t>
      </w:r>
      <w:r w:rsidRPr="00331ED1">
        <w:rPr>
          <w:szCs w:val="24"/>
          <w:lang w:eastAsia="fr-FR" w:bidi="fr-FR"/>
        </w:rPr>
        <w:tab/>
        <w:t>La contribution financière de l'Union devrait être gérée conformément au principe de bonne gestion financière et aux règles pertinentes en matière de gestion indirecte énoncées dans le règlement (UE, Euratom) n° 966/2012 du Parlement européen et du Conseil</w:t>
      </w:r>
      <w:r w:rsidRPr="00331ED1">
        <w:rPr>
          <w:b/>
          <w:szCs w:val="24"/>
          <w:vertAlign w:val="superscript"/>
          <w:lang w:eastAsia="fr-FR" w:bidi="fr-FR"/>
        </w:rPr>
        <w:footnoteReference w:id="57"/>
      </w:r>
      <w:r w:rsidRPr="00331ED1">
        <w:rPr>
          <w:szCs w:val="24"/>
          <w:lang w:eastAsia="fr-FR" w:bidi="fr-FR"/>
        </w:rPr>
        <w:t xml:space="preserve"> et dans le règlement délégué (UE) n° 1268/2012 de la Commission</w:t>
      </w:r>
      <w:r w:rsidRPr="00331ED1">
        <w:rPr>
          <w:b/>
          <w:szCs w:val="24"/>
          <w:vertAlign w:val="superscript"/>
          <w:lang w:eastAsia="fr-FR" w:bidi="fr-FR"/>
        </w:rPr>
        <w:footnoteReference w:id="58"/>
      </w:r>
      <w:r w:rsidRPr="00331ED1">
        <w:rPr>
          <w:szCs w:val="24"/>
          <w:lang w:eastAsia="fr-FR" w:bidi="fr-FR"/>
        </w:rPr>
        <w: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(27)</w:t>
      </w:r>
      <w:r w:rsidRPr="00331ED1">
        <w:rPr>
          <w:szCs w:val="24"/>
          <w:lang w:eastAsia="fr-FR" w:bidi="fr-FR"/>
        </w:rPr>
        <w:tab/>
        <w:t>Afin de protéger les intérêts financiers de l'Union, la Commission devrait avoir le droit de réduire la contribution financière de l'Union, de la suspendre ou d'y mettre fin si le programme EDCTP-II est mis en œuvre de façon inadéquate, partielle ou tardive, ou si les États participants ne contribuent pas, ou contribuent de manière partielle ou tardive, au financement du programme EDCTP-II. Ces droits devraient être prévus dans la convention de délégation à conclure entre l'Union et l'EDCTP-II-IS.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(28)</w:t>
      </w:r>
      <w:r w:rsidRPr="00331ED1">
        <w:rPr>
          <w:szCs w:val="24"/>
          <w:lang w:eastAsia="fr-FR" w:bidi="fr-FR"/>
        </w:rPr>
        <w:tab/>
        <w:t>Afin de mettre en œuvre le programme EDCTP-II de manière efficace, l'EDCTP-II-IS devrait apporter un soutien financier, principalement sous la forme de subventions versées aux participants aux actions sélectionnées au niveau de l'EDCTP-II-IS. Ces actions devraient être sélectionnées à la suite d'appels à propositions ouverts et concurrentiels sous la responsabilité de l'EDCTP-II-IS.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(29)</w:t>
      </w:r>
      <w:r w:rsidRPr="00331ED1">
        <w:rPr>
          <w:szCs w:val="24"/>
          <w:lang w:eastAsia="fr-FR" w:bidi="fr-FR"/>
        </w:rPr>
        <w:tab/>
        <w:t>La participation aux actions indirectes au titre du programme EDCTP-II est soumise règlement (UE) n° </w:t>
      </w:r>
      <w:r w:rsidRPr="00331ED1">
        <w:rPr>
          <w:b/>
          <w:i/>
          <w:color w:val="000000"/>
          <w:szCs w:val="24"/>
          <w:lang w:eastAsia="fr-FR" w:bidi="fr-FR"/>
        </w:rPr>
        <w:t>1290</w:t>
      </w:r>
      <w:r w:rsidRPr="00331ED1">
        <w:rPr>
          <w:szCs w:val="24"/>
          <w:lang w:eastAsia="fr-FR" w:bidi="fr-FR"/>
        </w:rPr>
        <w:t>/2013 du Parlement européen et du Conseil</w:t>
      </w:r>
      <w:r w:rsidRPr="00331ED1">
        <w:rPr>
          <w:b/>
          <w:szCs w:val="24"/>
          <w:vertAlign w:val="superscript"/>
          <w:lang w:eastAsia="fr-FR" w:bidi="fr-FR"/>
        </w:rPr>
        <w:footnoteReference w:id="59"/>
      </w:r>
      <w:r w:rsidRPr="00331ED1">
        <w:rPr>
          <w:szCs w:val="24"/>
          <w:lang w:eastAsia="fr-FR" w:bidi="fr-FR"/>
        </w:rPr>
        <w:t>. Toutefois, en raison des besoins opérationnels spécifiques du programme EDCTP-II, il est nécessaire de prévoir des dérogations à ce règlement conformément à l'article 1</w:t>
      </w:r>
      <w:r w:rsidRPr="00331ED1">
        <w:rPr>
          <w:szCs w:val="24"/>
          <w:vertAlign w:val="superscript"/>
          <w:lang w:eastAsia="fr-FR" w:bidi="fr-FR"/>
        </w:rPr>
        <w:t>er</w:t>
      </w:r>
      <w:r w:rsidRPr="00331ED1">
        <w:rPr>
          <w:szCs w:val="24"/>
          <w:lang w:eastAsia="fr-FR" w:bidi="fr-FR"/>
        </w:rPr>
        <w:t>, paragraphe 3, dudit règlement.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(30)</w:t>
      </w:r>
      <w:r w:rsidRPr="00331ED1">
        <w:rPr>
          <w:szCs w:val="24"/>
          <w:lang w:eastAsia="fr-FR" w:bidi="fr-FR"/>
        </w:rPr>
        <w:tab/>
        <w:t>Des dérogations à l'article </w:t>
      </w:r>
      <w:r w:rsidRPr="00331ED1">
        <w:rPr>
          <w:b/>
          <w:i/>
          <w:color w:val="000000"/>
          <w:szCs w:val="24"/>
          <w:lang w:eastAsia="fr-FR" w:bidi="fr-FR"/>
        </w:rPr>
        <w:t>9</w:t>
      </w:r>
      <w:r w:rsidRPr="00331ED1">
        <w:rPr>
          <w:szCs w:val="24"/>
          <w:lang w:eastAsia="fr-FR" w:bidi="fr-FR"/>
        </w:rPr>
        <w:t>, paragraphe 1, point b), à l'article </w:t>
      </w:r>
      <w:r w:rsidRPr="00331ED1">
        <w:rPr>
          <w:b/>
          <w:i/>
          <w:color w:val="000000"/>
          <w:szCs w:val="24"/>
          <w:lang w:eastAsia="fr-FR" w:bidi="fr-FR"/>
        </w:rPr>
        <w:t>10</w:t>
      </w:r>
      <w:r w:rsidRPr="00331ED1">
        <w:rPr>
          <w:szCs w:val="24"/>
          <w:lang w:eastAsia="fr-FR" w:bidi="fr-FR"/>
        </w:rPr>
        <w:t>, paragraphe 1, point c), et à l'article </w:t>
      </w:r>
      <w:r w:rsidRPr="00331ED1">
        <w:rPr>
          <w:b/>
          <w:i/>
          <w:color w:val="000000"/>
          <w:szCs w:val="24"/>
          <w:lang w:eastAsia="fr-FR" w:bidi="fr-FR"/>
        </w:rPr>
        <w:t>12</w:t>
      </w:r>
      <w:r w:rsidRPr="00331ED1">
        <w:rPr>
          <w:szCs w:val="24"/>
          <w:lang w:eastAsia="fr-FR" w:bidi="fr-FR"/>
        </w:rPr>
        <w:t xml:space="preserve"> du règlement (UE) nº </w:t>
      </w:r>
      <w:r w:rsidRPr="00331ED1">
        <w:rPr>
          <w:b/>
          <w:i/>
          <w:color w:val="000000"/>
          <w:szCs w:val="24"/>
          <w:lang w:eastAsia="fr-FR" w:bidi="fr-FR"/>
        </w:rPr>
        <w:t>1290</w:t>
      </w:r>
      <w:r w:rsidRPr="00331ED1">
        <w:rPr>
          <w:szCs w:val="24"/>
          <w:lang w:eastAsia="fr-FR" w:bidi="fr-FR"/>
        </w:rPr>
        <w:t>/2013 sont nécessaires en vue de demander la participation et de permettre le financement d'entités africaines, ainsi que pour permettre la coopération au moyen d'appels conjoints entre le programme EDCTP-II et toute autre entité juridique.</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(31)</w:t>
      </w:r>
      <w:r w:rsidRPr="00331ED1">
        <w:rPr>
          <w:szCs w:val="24"/>
          <w:lang w:eastAsia="fr-FR" w:bidi="fr-FR"/>
        </w:rPr>
        <w:tab/>
      </w:r>
      <w:r w:rsidRPr="00331ED1">
        <w:rPr>
          <w:b/>
          <w:i/>
          <w:color w:val="000000"/>
          <w:szCs w:val="24"/>
          <w:lang w:eastAsia="fr-FR" w:bidi="fr-FR"/>
        </w:rPr>
        <w:t>Dans un souci de simplification, il convient de réduire les charges administratives pour toutes les parties. Il convient d’éviter les doubles audits et les exigences disproportionnées en matière de documents et de rapports. Lorsque des audits sont réalisés, il y a lieu de tenir compte des particularités des programmes nationaux, selon le cas.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 xml:space="preserve"> (32)</w:t>
      </w:r>
      <w:r w:rsidRPr="00331ED1">
        <w:rPr>
          <w:szCs w:val="24"/>
          <w:lang w:eastAsia="fr-FR" w:bidi="fr-FR"/>
        </w:rPr>
        <w:tab/>
        <w:t>Des audits des bénéficiaires de fonds de l'Union octroyés conformément à la présente décision devraient assurer un allègement de la charge administrative, conformément à Horizon 2020.</w:t>
      </w:r>
    </w:p>
    <w:p w:rsidR="002022AB" w:rsidRPr="00331ED1" w:rsidRDefault="002022AB" w:rsidP="00075179">
      <w:pPr>
        <w:spacing w:before="120" w:after="120" w:line="360" w:lineRule="auto"/>
        <w:ind w:left="851" w:hanging="851"/>
        <w:rPr>
          <w:szCs w:val="24"/>
          <w:lang w:eastAsia="fr-FR" w:bidi="fr-FR"/>
        </w:rPr>
      </w:pPr>
      <w:r w:rsidRPr="00331ED1" w:rsidDel="00174F81">
        <w:rPr>
          <w:b/>
          <w:i/>
          <w:color w:val="000000"/>
          <w:szCs w:val="24"/>
          <w:lang w:eastAsia="fr-FR" w:bidi="fr-FR"/>
        </w:rPr>
        <w:t xml:space="preserve"> </w:t>
      </w:r>
      <w:r w:rsidRPr="00331ED1">
        <w:rPr>
          <w:szCs w:val="24"/>
          <w:lang w:eastAsia="fr-FR" w:bidi="fr-FR"/>
        </w:rPr>
        <w:t>(33)</w:t>
      </w:r>
      <w:r w:rsidRPr="00331ED1">
        <w:rPr>
          <w:szCs w:val="24"/>
          <w:lang w:eastAsia="fr-FR" w:bidi="fr-FR"/>
        </w:rPr>
        <w:tab/>
        <w:t>Les intérêts financiers de l'Union devraient être protégés au moyen de mesures proportionnées, tout au long du cycle de la dépense, y compris par la prévention et la détection des irrégularités, ainsi que par des enquêtes en la matière, par le recouvrement des fonds perdus, indûment versés ou mal employés et, s'il y a lieu, par l'application de sanctions administratives et financières conformément au règlement (UE, Euratom) n° 966/2012.</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(34)</w:t>
      </w:r>
      <w:r w:rsidRPr="00331ED1">
        <w:rPr>
          <w:szCs w:val="24"/>
          <w:lang w:eastAsia="fr-FR" w:bidi="fr-FR"/>
        </w:rPr>
        <w:tab/>
        <w:t>La Commission devrait effectuer des évaluations intermédiaires, consistant à apprécier, en particulier, la qualité et l'efficacité du programme EDCTP-II et les progrès accomplis par rapport aux objectifs fixés, procéder à une évaluation finale et établir des rapports sur ces évaluations.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(35)</w:t>
      </w:r>
      <w:r w:rsidRPr="00331ED1">
        <w:rPr>
          <w:szCs w:val="24"/>
          <w:lang w:eastAsia="fr-FR" w:bidi="fr-FR"/>
        </w:rPr>
        <w:tab/>
        <w:t>À la demande de la Commission, l'EDCTP-II-IS et les États participants devraient fournir toutes les informations que la Commission doit inclure dans les rapports d'évaluation du programme 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(36)</w:t>
      </w:r>
      <w:r w:rsidRPr="00331ED1">
        <w:rPr>
          <w:szCs w:val="24"/>
          <w:lang w:eastAsia="fr-FR" w:bidi="fr-FR"/>
        </w:rPr>
        <w:tab/>
        <w:t>Il est essentiel que les activités de recherche menées au titre du programme EDCTP</w:t>
      </w:r>
      <w:r w:rsidRPr="00331ED1">
        <w:rPr>
          <w:szCs w:val="24"/>
          <w:lang w:eastAsia="fr-FR" w:bidi="fr-FR"/>
        </w:rPr>
        <w:noBreakHyphen/>
        <w:t>II soient effectuées dans le plein respect de la charte des droits fondamentaux de l'Union européenne, de la convention européenne des droits de l'homme et de ses protocoles additionnels, des principes éthiques contenus dans la version 2008 de la déclaration d'Helsinki élaborée par l'Association médicale mondiale, des normes en matière de bonnes pratiques cliniques adoptées par la Conférence internationale sur l'harmonisation des exigences techniques pour l'enregistrement des médicaments à usage humain, de la réglementation de l'Union en la matière et des exigences éthiques locales des pays dans lesquels les activités de recherche doivent être menées.</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(37)</w:t>
      </w:r>
      <w:r w:rsidRPr="00331ED1">
        <w:rPr>
          <w:szCs w:val="24"/>
          <w:lang w:eastAsia="fr-FR" w:bidi="fr-FR"/>
        </w:rPr>
        <w:tab/>
      </w:r>
      <w:r w:rsidRPr="00331ED1">
        <w:rPr>
          <w:b/>
          <w:i/>
          <w:color w:val="000000"/>
          <w:szCs w:val="24"/>
          <w:lang w:eastAsia="fr-FR" w:bidi="fr-FR"/>
        </w:rPr>
        <w:t>Il est essentiel qu'un consentement éclairé soit systématiquement obtenu pour les essais cliniques conduits dans les pays en développement, d'une manière réellement éclairée et volontaire.</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 xml:space="preserve"> (38)</w:t>
      </w:r>
      <w:r w:rsidRPr="00331ED1">
        <w:rPr>
          <w:szCs w:val="24"/>
          <w:lang w:eastAsia="fr-FR" w:bidi="fr-FR"/>
        </w:rPr>
        <w:tab/>
      </w:r>
      <w:r w:rsidRPr="00331ED1">
        <w:rPr>
          <w:b/>
          <w:i/>
          <w:color w:val="000000"/>
          <w:szCs w:val="24"/>
          <w:lang w:eastAsia="fr-FR" w:bidi="fr-FR"/>
        </w:rPr>
        <w:t>Il importe également que les activités menées au titre du programme EDCTP-II soient cohérentes avec les actions entreprises dans le cadre de la politique de développement de l'Union. Dans ce contexte, il convient de rechercher des synergies entre le programme EDCTP-II et le Fonds européen pour le développement.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r>
      <w:r w:rsidRPr="00331ED1">
        <w:rPr>
          <w:b/>
          <w:i/>
          <w:color w:val="000000"/>
          <w:szCs w:val="24"/>
          <w:lang w:eastAsia="fr-FR" w:bidi="fr-FR"/>
        </w:rPr>
        <w:t>(39)</w:t>
      </w:r>
      <w:r w:rsidRPr="00331ED1">
        <w:rPr>
          <w:szCs w:val="24"/>
          <w:lang w:eastAsia="fr-FR" w:bidi="fr-FR"/>
        </w:rPr>
        <w:tab/>
      </w:r>
      <w:r w:rsidRPr="00331ED1">
        <w:rPr>
          <w:b/>
          <w:i/>
          <w:color w:val="000000"/>
          <w:szCs w:val="24"/>
          <w:lang w:eastAsia="fr-FR" w:bidi="fr-FR"/>
        </w:rPr>
        <w:t>Dans le cadre de l'objectif de coopération avec des initiatives internationales d'aide au développement, les activités financées au titre du programme EDCTP-II devraient tenir compte, le cas échéant, des recommandations formulées dans le cadre des initiatives pertinentes de l'Organisation mondiale de la santé (OMS), y compris par le groupe de travail consultatif d'experts sur le financement et la coordination de la recherche</w:t>
      </w:r>
      <w:r w:rsidRPr="00331ED1">
        <w:rPr>
          <w:b/>
          <w:i/>
          <w:color w:val="000000"/>
          <w:szCs w:val="24"/>
          <w:lang w:eastAsia="fr-FR" w:bidi="fr-FR"/>
        </w:rPr>
        <w:noBreakHyphen/>
        <w:t>développement (CEWG).</w:t>
      </w:r>
    </w:p>
    <w:p w:rsidR="002022AB" w:rsidRPr="00331ED1" w:rsidRDefault="002022AB" w:rsidP="00075179">
      <w:pPr>
        <w:spacing w:before="120" w:after="120" w:line="360" w:lineRule="auto"/>
        <w:ind w:left="851" w:hanging="851"/>
        <w:rPr>
          <w:szCs w:val="24"/>
          <w:lang w:eastAsia="fr-FR" w:bidi="fr-FR"/>
        </w:rPr>
      </w:pPr>
      <w:r w:rsidRPr="00331ED1">
        <w:rPr>
          <w:b/>
          <w:i/>
          <w:color w:val="000000"/>
          <w:szCs w:val="24"/>
          <w:lang w:eastAsia="fr-FR" w:bidi="fr-FR"/>
        </w:rPr>
        <w:t>(40)</w:t>
      </w:r>
      <w:r w:rsidRPr="00331ED1">
        <w:rPr>
          <w:szCs w:val="24"/>
          <w:lang w:eastAsia="fr-FR" w:bidi="fr-FR"/>
        </w:rPr>
        <w:tab/>
      </w:r>
      <w:r w:rsidRPr="00331ED1">
        <w:rPr>
          <w:b/>
          <w:i/>
          <w:color w:val="000000"/>
          <w:szCs w:val="24"/>
          <w:lang w:eastAsia="fr-FR" w:bidi="fr-FR"/>
        </w:rPr>
        <w:t>Le groupe scientifique pour la santé a été instauré par Horizon 2020 en tant que plateforme pour les parties prenantes axée sur la science afin d' apporter une contribution scientifique, de fournir une analyse scientifique ciblée et cohérente portant sur les goulets d'étranglement dans le domaine de la recherche et de l'innovation et sur les perspectives liées au défi de société relatif à la santé, à l'évolution démographique et au bien-être recensé par Horizon 2020, de contribuer à définir les priorités en matière de recherche et d'innovation, et d'encourager la participation de la communauté scientifique de l'Union. Grâce à une coopération active avec les parties prenantes, le groupe contribue à mettre en place les capacités et à encourager le partage des connaissances et une collaboration plus étroite dans toute l'Union dans ce domaine. Il convient donc que, le cas échéant, il y ait une collaboration et un échange d'informations entre le programme EDCTP-II et le groupe scientifique pour la santé.</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(41)</w:t>
      </w:r>
      <w:r w:rsidRPr="00331ED1">
        <w:rPr>
          <w:szCs w:val="24"/>
          <w:lang w:eastAsia="fr-FR" w:bidi="fr-FR"/>
        </w:rPr>
        <w:tab/>
        <w:t xml:space="preserve">Étant donné que les objectifs de la présente décision, à savoir contribuer à la réduction du fardeau socio-économique que représentent les maladies liées à la pauvreté dans les pays en développement, en particulier en Afrique subsaharienne, en accélérant le développement clinique d'interventions médicales efficaces, sûres, </w:t>
      </w:r>
      <w:r w:rsidRPr="00331ED1">
        <w:rPr>
          <w:b/>
          <w:i/>
          <w:color w:val="000000"/>
          <w:szCs w:val="24"/>
          <w:lang w:eastAsia="fr-FR" w:bidi="fr-FR"/>
        </w:rPr>
        <w:t>accessibles, adéquates</w:t>
      </w:r>
      <w:r w:rsidRPr="00331ED1">
        <w:rPr>
          <w:szCs w:val="24"/>
          <w:lang w:eastAsia="fr-FR" w:bidi="fr-FR"/>
        </w:rPr>
        <w:t xml:space="preserve"> et abordables concernant ces maladies, ne peuvent pas être atteints de manière suffisante par les États membres faute de masse critique nécessaire en termes de ressources humaines et financières, mais peuvent, en raison des dimensions de l'action, l'être mieux au niveau de l'Union, celle-ci peut prendre des mesures, conformément au principe de subsidiarité consacré à l'article 5 du traité sur l'Union européenne. Conformément au principe de proportionnalité tel qu'énoncé audit article, la présente décision n'excède pas ce qui est nécessaire pour atteindre ces objectifs,</w:t>
      </w:r>
    </w:p>
    <w:p w:rsidR="002022AB" w:rsidRPr="00331ED1" w:rsidRDefault="002022AB" w:rsidP="00075179">
      <w:pPr>
        <w:spacing w:before="120" w:after="120" w:line="360" w:lineRule="auto"/>
        <w:rPr>
          <w:szCs w:val="24"/>
          <w:lang w:eastAsia="fr-FR" w:bidi="fr-FR"/>
        </w:rPr>
      </w:pPr>
      <w:r w:rsidRPr="00331ED1">
        <w:rPr>
          <w:szCs w:val="24"/>
          <w:lang w:eastAsia="fr-FR" w:bidi="fr-FR"/>
        </w:rPr>
        <w:t>ONT ADOPTÉ LA PRÉSENTE DÉCISION:</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premier</w:t>
      </w:r>
      <w:r w:rsidRPr="00331ED1">
        <w:rPr>
          <w:szCs w:val="24"/>
          <w:lang w:eastAsia="fr-FR" w:bidi="fr-FR"/>
        </w:rPr>
        <w:br/>
        <w:t>Participation au second programme "partenariat des pays européens et en développement sur les essais cliniques"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 xml:space="preserve">L'Union participe au second programme "partenariat des pays européens et en développement sur les essais cliniques" (ci-après dénommé "programme EDCTP-II") entrepris conjointement par </w:t>
      </w:r>
      <w:r w:rsidRPr="00331ED1">
        <w:rPr>
          <w:color w:val="000000"/>
          <w:szCs w:val="24"/>
          <w:lang w:eastAsia="fr-FR" w:bidi="fr-FR"/>
        </w:rPr>
        <w:t>▌</w:t>
      </w:r>
      <w:r w:rsidRPr="00331ED1">
        <w:rPr>
          <w:szCs w:val="24"/>
          <w:lang w:eastAsia="fr-FR" w:bidi="fr-FR"/>
        </w:rPr>
        <w:t xml:space="preserve"> l'Allemagne, l'Autriche, le Danemark, l'Espagne, </w:t>
      </w:r>
      <w:r w:rsidRPr="00331ED1">
        <w:rPr>
          <w:b/>
          <w:i/>
          <w:color w:val="000000"/>
          <w:szCs w:val="24"/>
          <w:lang w:eastAsia="fr-FR" w:bidi="fr-FR"/>
        </w:rPr>
        <w:t>la Finlande</w:t>
      </w:r>
      <w:r w:rsidRPr="00331ED1">
        <w:rPr>
          <w:szCs w:val="24"/>
          <w:lang w:eastAsia="fr-FR" w:bidi="fr-FR"/>
        </w:rPr>
        <w:t>, la France, la Grèce, l'Irlande, l'Italie, le Luxembourg, la Norvège, les Pays-Bas, le Portugal, le Royaume-Uni, la Suède et la Suisse (ci-après dénommés "États participants"), conformément aux conditions fixées dans la présente décision.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Tout État membre autre que ceux énumérés dans le paragraphe 1, et tout autre pays associé à Horizon 2020 peut participer au programme EDCTP</w:t>
      </w:r>
      <w:r w:rsidRPr="00331ED1">
        <w:rPr>
          <w:szCs w:val="24"/>
          <w:lang w:eastAsia="fr-FR" w:bidi="fr-FR"/>
        </w:rPr>
        <w:noBreakHyphen/>
        <w:t>II, à condition de satisfaire à la condition énoncée à l'article 3, paragraphe 1, point e), de la présente décision. S'il remplit la condition énoncée à l'article 3, paragraphe 1, point e), il est considéré comme un État participant aux fins de la présente décision.</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2</w:t>
      </w:r>
      <w:r w:rsidRPr="00331ED1">
        <w:rPr>
          <w:szCs w:val="24"/>
          <w:lang w:eastAsia="fr-FR" w:bidi="fr-FR"/>
        </w:rPr>
        <w:br/>
        <w:t>Contribution financière de l'Union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La contribution financière de l'Union, y compris les crédits AELE, au programme EDCTP-II s'élève au maximum à 683 000 000 EUR afin d'égaler les contributions des États participants.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 xml:space="preserve">La contribution financière de l'Union est prélevée sur les crédits du budget général de l'Union alloués aux sections concernées du programme spécifique d'exécution d'Horizon 2020, établi par la </w:t>
      </w:r>
      <w:r w:rsidRPr="00331ED1">
        <w:rPr>
          <w:b/>
          <w:i/>
          <w:color w:val="000000"/>
          <w:szCs w:val="24"/>
          <w:lang w:eastAsia="fr-FR" w:bidi="fr-FR"/>
        </w:rPr>
        <w:t xml:space="preserve">décision </w:t>
      </w:r>
      <w:r w:rsidRPr="00331ED1">
        <w:rPr>
          <w:b/>
          <w:bCs/>
          <w:i/>
          <w:iCs/>
          <w:color w:val="000000"/>
          <w:szCs w:val="24"/>
          <w:lang w:eastAsia="fr-FR" w:bidi="fr-FR"/>
        </w:rPr>
        <w:t>2013/743/UE</w:t>
      </w:r>
      <w:r w:rsidRPr="00331ED1">
        <w:rPr>
          <w:b/>
          <w:i/>
          <w:szCs w:val="24"/>
          <w:lang w:eastAsia="fr-FR" w:bidi="fr-FR"/>
        </w:rPr>
        <w:t>, et notamment sur les crédits alloués au titre de l'objectif spécifique "Santé, évolution démographique et bien-être"</w:t>
      </w:r>
      <w:r w:rsidRPr="00331ED1">
        <w:rPr>
          <w:szCs w:val="24"/>
          <w:lang w:eastAsia="fr-FR" w:bidi="fr-FR"/>
        </w:rPr>
        <w:t>, conformément à l'article 58, paragraphe 1, point c) vi), et aux articles 60 et 61 du règlement (UE, Euratom) n° 966/2012.</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w:t>
      </w:r>
      <w:r w:rsidRPr="00331ED1">
        <w:rPr>
          <w:szCs w:val="24"/>
          <w:lang w:eastAsia="fr-FR" w:bidi="fr-FR"/>
        </w:rPr>
        <w:tab/>
        <w:t>La contribution financière de l'Union visée au paragraphe 1 peut être utilisée jusqu'à hauteur de 6 % par la structure d'exécution du programme EDCTP-II (ci-après dénommée "EDCTP-II-IS") aux fins de la couverture de ses frais administratifs.</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3</w:t>
      </w:r>
      <w:r w:rsidRPr="00331ED1">
        <w:rPr>
          <w:szCs w:val="24"/>
          <w:lang w:eastAsia="fr-FR" w:bidi="fr-FR"/>
        </w:rPr>
        <w:br/>
        <w:t>Conditions applicables à la contribution financière de l'Union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La contribution financière de l'Union est conditionnée par:</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a)</w:t>
      </w:r>
      <w:r w:rsidRPr="00331ED1">
        <w:rPr>
          <w:szCs w:val="24"/>
          <w:lang w:eastAsia="fr-FR" w:bidi="fr-FR"/>
        </w:rPr>
        <w:tab/>
        <w:t>la démonstration faite par les États participants que le programme EDCTP-II est institué conformément aux annexes I, II et III;</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b)</w:t>
      </w:r>
      <w:r w:rsidRPr="00331ED1">
        <w:rPr>
          <w:szCs w:val="24"/>
          <w:lang w:eastAsia="fr-FR" w:bidi="fr-FR"/>
        </w:rPr>
        <w:tab/>
        <w:t>la désignation par les États participants ou par les organisations désignées par ceux-ci de l'EDCTP-II-IS, une entité dotée de la personnalité juridique chargée de la mise en œuvre du programme EDCTP-II, ainsi que de la réception, de l'attribution et du suivi de la contribution des États participants et de la contribution financière de l'Union;</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c)</w:t>
      </w:r>
      <w:r w:rsidRPr="00331ED1">
        <w:rPr>
          <w:szCs w:val="24"/>
          <w:lang w:eastAsia="fr-FR" w:bidi="fr-FR"/>
        </w:rPr>
        <w:tab/>
        <w:t>la démonstration par l'EDCTP-II-IS de sa capacité à mettre en œuvre le programme EDCTP-II, y compris en ce qui concerne la réception, l'attribution et le suivi de la contribution financière de l'Union dans le cadre de la gestion indirecte du budget de l'Union conformément aux articles 58, 60 et 61 du règlement (UE, Euratom) n° 966/2012;</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br w:type="page"/>
        <w:t>d)</w:t>
      </w:r>
      <w:r w:rsidRPr="00331ED1">
        <w:rPr>
          <w:szCs w:val="24"/>
          <w:lang w:eastAsia="fr-FR" w:bidi="fr-FR"/>
        </w:rPr>
        <w:tab/>
        <w:t>la mise en place d'un modèle de gouvernance pour le programme EDCTP-II conformément à l'annexe III; et</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e)</w:t>
      </w:r>
      <w:r w:rsidRPr="00331ED1">
        <w:rPr>
          <w:szCs w:val="24"/>
          <w:lang w:eastAsia="fr-FR" w:bidi="fr-FR"/>
        </w:rPr>
        <w:tab/>
        <w:t>l'engagement de la part de chaque État participant à contribuer au financement du programme 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Lors de la mise en œuvre du programme EDCTP-II, la contribution financière de l'Union est également subordonnée au respect des conditions suivantes: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a)</w:t>
      </w:r>
      <w:r w:rsidRPr="00331ED1">
        <w:rPr>
          <w:szCs w:val="24"/>
          <w:lang w:eastAsia="fr-FR" w:bidi="fr-FR"/>
        </w:rPr>
        <w:tab/>
        <w:t>la mise en œuvre par l'EDCTP-II-IS des objectifs énoncés à l'annexe I, et des activités définies à l'annexe II, de la présente décision, notamment les activités et les actions indirectes qu'il finance, dans le respect du règlement (UE) nº 1290/2013 visé à l'article 6 de la présente décision;</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b)</w:t>
      </w:r>
      <w:r w:rsidRPr="00331ED1">
        <w:rPr>
          <w:szCs w:val="24"/>
          <w:lang w:eastAsia="fr-FR" w:bidi="fr-FR"/>
        </w:rPr>
        <w:tab/>
        <w:t>le maintien d'un modèle approprié et efficient de gouvernance pour le programme EDCTP-II conformément à l'annexe III;</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c)</w:t>
      </w:r>
      <w:r w:rsidRPr="00331ED1">
        <w:rPr>
          <w:szCs w:val="24"/>
          <w:lang w:eastAsia="fr-FR" w:bidi="fr-FR"/>
        </w:rPr>
        <w:tab/>
        <w:t>le respect par l'EDCTP-II-IS des exigences en matière d'établissement de rapports énoncées à l'article 60, paragraphe 5, du règlement (UE, Euratom) n° 966/2012; et</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d)</w:t>
      </w:r>
      <w:r w:rsidRPr="00331ED1">
        <w:rPr>
          <w:szCs w:val="24"/>
          <w:lang w:eastAsia="fr-FR" w:bidi="fr-FR"/>
        </w:rPr>
        <w:tab/>
        <w:t>le respect des engagements visés au paragraphe 1, point e).</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 xml:space="preserve">Article 4 </w:t>
      </w:r>
      <w:r w:rsidRPr="00331ED1">
        <w:rPr>
          <w:szCs w:val="24"/>
          <w:lang w:eastAsia="fr-FR" w:bidi="fr-FR"/>
        </w:rPr>
        <w:br/>
        <w:t>Activités du programme 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Les activités du programme EDCTP-II rencontrent les objectifs décrits à l'annexe I et sont conformes à l'annexe II.</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 xml:space="preserve">Les activités peuvent comprendre des activités des programmes nationaux des États participants, </w:t>
      </w:r>
      <w:r w:rsidRPr="00331ED1">
        <w:rPr>
          <w:b/>
          <w:i/>
          <w:color w:val="000000"/>
          <w:szCs w:val="24"/>
          <w:lang w:eastAsia="fr-FR" w:bidi="fr-FR"/>
        </w:rPr>
        <w:t>y compris des activités menées par des organismes de recherche publics ou privés à but non lucratif</w:t>
      </w:r>
      <w:r w:rsidRPr="00331ED1">
        <w:rPr>
          <w:szCs w:val="24"/>
          <w:lang w:eastAsia="fr-FR" w:bidi="fr-FR"/>
        </w:rPr>
        <w:t>, et de nouvelles activités, y compris des appels à propositions gérés par l'EDCTP-II-IS.</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 xml:space="preserve">Les activités sont intégrées dans le plan de travail du programme EDCTP-II adopté chaque année par l'EDCTP-II-IS (ci-après dénommé "plan de travail annuel de l'EDCTP-II"), à la suite du résultat positif de leur évaluation externe effectuée par les pairs au niveau international </w:t>
      </w:r>
      <w:r w:rsidRPr="00331ED1">
        <w:rPr>
          <w:b/>
          <w:i/>
          <w:szCs w:val="24"/>
          <w:lang w:eastAsia="fr-FR" w:bidi="fr-FR"/>
        </w:rPr>
        <w:t>par rapport aux</w:t>
      </w:r>
      <w:r w:rsidRPr="00331ED1">
        <w:rPr>
          <w:szCs w:val="24"/>
          <w:lang w:eastAsia="fr-FR" w:bidi="fr-FR"/>
        </w:rPr>
        <w:t xml:space="preserve"> objectifs du programme 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Le plan de travail annuel de l'EDCTP-II détaille la valeur prévue au budget de chaque activité et prévoit l'affectation des fonds gérés par l'EDCTP-II-IS, y compris la contribution financière de l'Union.</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Le plan de travail annuel de l'EDCTP-II établit une distinction entre les activités financées ou cofinancées par l'Union et celles financées par les États participants ou au moyen d'autres recettes.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3.</w:t>
      </w:r>
      <w:r w:rsidRPr="00331ED1">
        <w:rPr>
          <w:szCs w:val="24"/>
          <w:lang w:eastAsia="fr-FR" w:bidi="fr-FR"/>
        </w:rPr>
        <w:tab/>
        <w:t>L'EDCTP-II-IS met en œuvre le plan de travail annuel de l'EDCTP-II .</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L'EDCTP-II-IS assure le suivi de la mise en œuvre de toutes les activités intégrées dans le plan de travail ou sélectionnées à la suite d'appels à propositions gérés par l'EDCTP-II</w:t>
      </w:r>
      <w:r w:rsidRPr="00331ED1">
        <w:rPr>
          <w:szCs w:val="24"/>
          <w:lang w:eastAsia="fr-FR" w:bidi="fr-FR"/>
        </w:rPr>
        <w:noBreakHyphen/>
        <w:t>IS et fait rapport à ce sujet à la Commission.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4.</w:t>
      </w:r>
      <w:r w:rsidRPr="00331ED1">
        <w:rPr>
          <w:szCs w:val="24"/>
          <w:lang w:eastAsia="fr-FR" w:bidi="fr-FR"/>
        </w:rPr>
        <w:tab/>
        <w:t>Les activités intégrées dans le plan de travail annuel de l'EDCTP-II qui ne sont pas financées par l'EDCTP-II-IS sont mises en œuvre conformément à des principes communs à convenir par les États participants et la Commission, en tenant compte des principes énoncés dans la présente décision, au titre VI du règlement (UE, Euratom) n° 966/2012 et dans le règlement (UE) nº </w:t>
      </w:r>
      <w:r w:rsidRPr="00331ED1">
        <w:rPr>
          <w:b/>
          <w:i/>
          <w:color w:val="000000"/>
          <w:szCs w:val="24"/>
          <w:lang w:eastAsia="fr-FR" w:bidi="fr-FR"/>
        </w:rPr>
        <w:t>1290/2013</w:t>
      </w:r>
      <w:r w:rsidRPr="00331ED1">
        <w:rPr>
          <w:szCs w:val="24"/>
          <w:lang w:eastAsia="fr-FR" w:bidi="fr-FR"/>
        </w:rPr>
        <w:t>, en particulier les principes d'égalité de traitement, de transparence, d'évaluation indépendante par les pairs et de sélection. Les États participants et la Commission conviennent également des exigences en matière d'établissement de rapports à l'intention de l'EDCTP-II-IS, y compris  en ce qui concerne les indicateurs intégrés dans chacune de ces activités.</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Toute activité financée par l'EDCTP-II-IS conformément au plan de travail annuel de l'EDCTP-II ou à la suite d'appels à propositions gérés par l'EDCTP-II-IS est considérée comme une action indirecte au sens du règlement (UE) n° </w:t>
      </w:r>
      <w:r w:rsidRPr="00331ED1">
        <w:rPr>
          <w:b/>
          <w:i/>
          <w:color w:val="000000"/>
          <w:szCs w:val="24"/>
          <w:lang w:eastAsia="fr-FR" w:bidi="fr-FR"/>
        </w:rPr>
        <w:t>1290/2013</w:t>
      </w:r>
      <w:r w:rsidRPr="00331ED1">
        <w:rPr>
          <w:szCs w:val="24"/>
          <w:lang w:eastAsia="fr-FR" w:bidi="fr-FR"/>
        </w:rPr>
        <w:t xml:space="preserve"> et est mise en œuvre conformément à l'article 6 de la présente décision.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5.</w:t>
      </w:r>
      <w:r w:rsidRPr="00331ED1">
        <w:rPr>
          <w:szCs w:val="24"/>
          <w:lang w:eastAsia="fr-FR" w:bidi="fr-FR"/>
        </w:rPr>
        <w:tab/>
        <w:t xml:space="preserve">Toute communication ou publication </w:t>
      </w:r>
      <w:r w:rsidRPr="00331ED1">
        <w:rPr>
          <w:b/>
          <w:i/>
          <w:color w:val="000000"/>
          <w:szCs w:val="24"/>
          <w:lang w:eastAsia="fr-FR" w:bidi="fr-FR"/>
        </w:rPr>
        <w:t>dans le domaine des</w:t>
      </w:r>
      <w:r w:rsidRPr="00331ED1">
        <w:rPr>
          <w:szCs w:val="24"/>
          <w:lang w:eastAsia="fr-FR" w:bidi="fr-FR"/>
        </w:rPr>
        <w:t xml:space="preserve"> activités du programme EDCTP-II, et </w:t>
      </w:r>
      <w:r w:rsidRPr="00331ED1">
        <w:rPr>
          <w:b/>
          <w:i/>
          <w:color w:val="000000"/>
          <w:szCs w:val="24"/>
          <w:lang w:eastAsia="fr-FR" w:bidi="fr-FR"/>
        </w:rPr>
        <w:t>réalisée en collaboration étroite avec le programme EDCTP-II</w:t>
      </w:r>
      <w:r w:rsidRPr="00331ED1">
        <w:rPr>
          <w:szCs w:val="24"/>
          <w:lang w:eastAsia="fr-FR" w:bidi="fr-FR"/>
        </w:rPr>
        <w:t>, qu'elle soit effectuée par l'EDCTP-II-IS, un État participant ou des participants à une activité, est accompagnée de la mention, seule ou accompagnée d'une autre mention: "[nom de l'activité] fait partie du programme EDCTP-II soutenu par l'Union européenne".</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Article 5</w:t>
      </w:r>
      <w:r w:rsidRPr="00331ED1">
        <w:rPr>
          <w:szCs w:val="24"/>
          <w:lang w:eastAsia="fr-FR" w:bidi="fr-FR"/>
        </w:rPr>
        <w:br/>
        <w:t xml:space="preserve">Contributions des États participants </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Les contributions des États participants se composent des éléments suivants: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a)</w:t>
      </w:r>
      <w:r w:rsidRPr="00331ED1">
        <w:rPr>
          <w:szCs w:val="24"/>
          <w:lang w:eastAsia="fr-FR" w:bidi="fr-FR"/>
        </w:rPr>
        <w:tab/>
        <w:t>des contributions financières à l'EDCTP-II-IS;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b)</w:t>
      </w:r>
      <w:r w:rsidRPr="00331ED1">
        <w:rPr>
          <w:szCs w:val="24"/>
          <w:lang w:eastAsia="fr-FR" w:bidi="fr-FR"/>
        </w:rPr>
        <w:tab/>
        <w:t>des contributions en nature correspondant aux coûts exposés par les États participants pour l'exécution d'activités intégrées</w:t>
      </w:r>
      <w:r w:rsidRPr="00331ED1">
        <w:rPr>
          <w:b/>
          <w:i/>
          <w:color w:val="000000"/>
          <w:szCs w:val="24"/>
          <w:lang w:eastAsia="fr-FR" w:bidi="fr-FR"/>
        </w:rPr>
        <w:t xml:space="preserve"> et clairement identifiées</w:t>
      </w:r>
      <w:r w:rsidRPr="00331ED1">
        <w:rPr>
          <w:szCs w:val="24"/>
          <w:lang w:eastAsia="fr-FR" w:bidi="fr-FR"/>
        </w:rPr>
        <w:t xml:space="preserve"> dans le plan de travail annuel de l'EDCTP-II, ou se rapportant au budget administratif de l'EDCTP</w:t>
      </w:r>
      <w:r w:rsidRPr="00331ED1">
        <w:rPr>
          <w:szCs w:val="24"/>
          <w:lang w:eastAsia="fr-FR" w:bidi="fr-FR"/>
        </w:rPr>
        <w:noBreakHyphen/>
        <w:t>II-IS.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Aux fins de l'évaluation des contributions visées au paragraphe 1, point b), les coûts sont déterminés conformément aux pratiques habituelles de comptabilisation et aux normes comptables habituelles de l'État participant concerné, ainsi qu'aux normes comptables internationales/normes internationales d'information financière applicables.</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6</w:t>
      </w:r>
      <w:r w:rsidRPr="00331ED1">
        <w:rPr>
          <w:szCs w:val="24"/>
          <w:lang w:eastAsia="fr-FR" w:bidi="fr-FR"/>
        </w:rPr>
        <w:br/>
        <w:t xml:space="preserve">Règles de participation et de diffusion </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Le règlement (UE) n° </w:t>
      </w:r>
      <w:r w:rsidRPr="00331ED1">
        <w:rPr>
          <w:b/>
          <w:i/>
          <w:color w:val="000000"/>
          <w:szCs w:val="24"/>
          <w:lang w:eastAsia="fr-FR" w:bidi="fr-FR"/>
        </w:rPr>
        <w:t>1290/2013</w:t>
      </w:r>
      <w:r w:rsidRPr="00331ED1">
        <w:rPr>
          <w:szCs w:val="24"/>
          <w:lang w:eastAsia="fr-FR" w:bidi="fr-FR"/>
        </w:rPr>
        <w:t xml:space="preserve"> s'applique aux actions indirectes sélectionnées et financées par l'EDCTP-II-IS </w:t>
      </w:r>
      <w:r w:rsidRPr="00331ED1">
        <w:rPr>
          <w:b/>
          <w:i/>
          <w:color w:val="000000"/>
          <w:szCs w:val="24"/>
          <w:lang w:eastAsia="fr-FR" w:bidi="fr-FR"/>
        </w:rPr>
        <w:t>sur la base du</w:t>
      </w:r>
      <w:r w:rsidRPr="00331ED1">
        <w:rPr>
          <w:szCs w:val="24"/>
          <w:lang w:eastAsia="fr-FR" w:bidi="fr-FR"/>
        </w:rPr>
        <w:t xml:space="preserve"> plan de travail annuel de l'EDCTP-II, ou à la suite d'appels à propositions gérés par l'EDCTP-II-IS. Conformément audit règlement, l'EDCTP-II-IS est considéré comme un organisme de financement et apporte un soutien financier aux actions indirectes conformément à l'annexe II de la présente décision.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Par dérogation à l'article </w:t>
      </w:r>
      <w:r w:rsidRPr="00331ED1">
        <w:rPr>
          <w:b/>
          <w:i/>
          <w:color w:val="000000"/>
          <w:szCs w:val="24"/>
          <w:lang w:eastAsia="fr-FR" w:bidi="fr-FR"/>
        </w:rPr>
        <w:t>9</w:t>
      </w:r>
      <w:r w:rsidRPr="00331ED1">
        <w:rPr>
          <w:szCs w:val="24"/>
          <w:lang w:eastAsia="fr-FR" w:bidi="fr-FR"/>
        </w:rPr>
        <w:t>, paragraphe 1, point b), du règlement (UE) n° </w:t>
      </w:r>
      <w:r w:rsidRPr="00331ED1">
        <w:rPr>
          <w:b/>
          <w:i/>
          <w:color w:val="000000"/>
          <w:szCs w:val="24"/>
          <w:lang w:eastAsia="fr-FR" w:bidi="fr-FR"/>
        </w:rPr>
        <w:t>1290/2013</w:t>
      </w:r>
      <w:r w:rsidRPr="00331ED1">
        <w:rPr>
          <w:szCs w:val="24"/>
          <w:lang w:eastAsia="fr-FR" w:bidi="fr-FR"/>
        </w:rPr>
        <w:t>, le nombre minimal de participants est de deux entités juridiques établies dans deux États participants différents et d'une troisième entité juridique établie dans un pays d'Afrique subsaharienne figurant dans la liste du plan de travail annuel de l'EDCTP-II.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w:t>
      </w:r>
      <w:r w:rsidRPr="00331ED1">
        <w:rPr>
          <w:szCs w:val="24"/>
          <w:lang w:eastAsia="fr-FR" w:bidi="fr-FR"/>
        </w:rPr>
        <w:tab/>
        <w:t>Par dérogation à l'article </w:t>
      </w:r>
      <w:r w:rsidRPr="00331ED1">
        <w:rPr>
          <w:b/>
          <w:i/>
          <w:color w:val="000000"/>
          <w:szCs w:val="24"/>
          <w:lang w:eastAsia="fr-FR" w:bidi="fr-FR"/>
        </w:rPr>
        <w:t>10</w:t>
      </w:r>
      <w:r w:rsidRPr="00331ED1">
        <w:rPr>
          <w:szCs w:val="24"/>
          <w:lang w:eastAsia="fr-FR" w:bidi="fr-FR"/>
        </w:rPr>
        <w:t>, paragraphe 1, point c), du règlement (UE) n° </w:t>
      </w:r>
      <w:r w:rsidRPr="00331ED1">
        <w:rPr>
          <w:b/>
          <w:i/>
          <w:color w:val="000000"/>
          <w:szCs w:val="24"/>
          <w:lang w:eastAsia="fr-FR" w:bidi="fr-FR"/>
        </w:rPr>
        <w:t>1290/2013</w:t>
      </w:r>
      <w:r w:rsidRPr="00331ED1">
        <w:rPr>
          <w:szCs w:val="24"/>
          <w:lang w:eastAsia="fr-FR" w:bidi="fr-FR"/>
        </w:rPr>
        <w:t>, toute entité juridique établie dans un pays d'Afrique subsaharienne figurant dans la liste du plan de travail annuel de l'EDCTP-II est éligible à un financement.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4.</w:t>
      </w:r>
      <w:r w:rsidRPr="00331ED1">
        <w:rPr>
          <w:szCs w:val="24"/>
          <w:lang w:eastAsia="fr-FR" w:bidi="fr-FR"/>
        </w:rPr>
        <w:tab/>
        <w:t>Lorsqu'une telle activité est intégrée dans le plan de travail annuel de l'EDCTP-II, l'EDCTP-II-IS peut lancer des appels conjoints avec des pays tiers ou leurs organisations et agences scientifiques et technologiques, avec des organisations internationales ou avec d'autres tierces parties, en particulier des organisations non gouvernementales, conformément aux règles développées sur la base de l'article </w:t>
      </w:r>
      <w:r w:rsidRPr="00331ED1">
        <w:rPr>
          <w:b/>
          <w:i/>
          <w:color w:val="000000"/>
          <w:szCs w:val="24"/>
          <w:lang w:eastAsia="fr-FR" w:bidi="fr-FR"/>
        </w:rPr>
        <w:t>12</w:t>
      </w:r>
      <w:r w:rsidRPr="00331ED1">
        <w:rPr>
          <w:szCs w:val="24"/>
          <w:lang w:eastAsia="fr-FR" w:bidi="fr-FR"/>
        </w:rPr>
        <w:t xml:space="preserve"> du règlement (UE) n° </w:t>
      </w:r>
      <w:r w:rsidRPr="00331ED1">
        <w:rPr>
          <w:b/>
          <w:i/>
          <w:color w:val="000000"/>
          <w:szCs w:val="24"/>
          <w:lang w:eastAsia="fr-FR" w:bidi="fr-FR"/>
        </w:rPr>
        <w:t>1290/2013</w:t>
      </w:r>
      <w:r w:rsidRPr="00331ED1">
        <w:rPr>
          <w:szCs w:val="24"/>
          <w:lang w:eastAsia="fr-FR" w:bidi="fr-FR"/>
        </w:rPr>
        <w:t>.</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 xml:space="preserve">Article 7 </w:t>
      </w:r>
      <w:r w:rsidRPr="00331ED1">
        <w:rPr>
          <w:szCs w:val="24"/>
          <w:lang w:eastAsia="fr-FR" w:bidi="fr-FR"/>
        </w:rPr>
        <w:br/>
        <w:t>Accords et conventions entre l'Union et l'EDCTP-II-IS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Sous réserve d'une évaluation ex ante positive de l'EDCTP-II-IS conformément à l'article 61, paragraphe 1, du règlement (UE, Euratom) nº 966/2012, la Commission conclut, au nom de l'Union, une convention de délégation et des accords annuels de transfert de fonds avec l'EDCTP-II-IS.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La convention de délégation visée au paragraphe 1 est conclue conformément à l'article 58, paragraphe 3, et aux articles 60 et 61 du règlement (UE, Euratom) n° 966/2012, ainsi qu'à l'article 40 du règlement délégué (UE) n° 1268/2012. Elle énonce, entre autres, les points suivants: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a)</w:t>
      </w:r>
      <w:r w:rsidRPr="00331ED1">
        <w:rPr>
          <w:szCs w:val="24"/>
          <w:lang w:eastAsia="fr-FR" w:bidi="fr-FR"/>
        </w:rPr>
        <w:tab/>
        <w:t>les exigences applicables à la contribution de l'EDCTP-II-IS</w:t>
      </w:r>
      <w:r w:rsidRPr="00331ED1" w:rsidDel="00050875">
        <w:rPr>
          <w:szCs w:val="24"/>
          <w:lang w:eastAsia="fr-FR" w:bidi="fr-FR"/>
        </w:rPr>
        <w:t xml:space="preserve"> </w:t>
      </w:r>
      <w:r w:rsidRPr="00331ED1">
        <w:rPr>
          <w:szCs w:val="24"/>
          <w:lang w:eastAsia="fr-FR" w:bidi="fr-FR"/>
        </w:rPr>
        <w:t xml:space="preserve">en ce qui concerne les indicateurs de performance énoncés à l'annexe II de la décision </w:t>
      </w:r>
      <w:r w:rsidRPr="00331ED1">
        <w:rPr>
          <w:b/>
          <w:i/>
          <w:szCs w:val="24"/>
          <w:lang w:eastAsia="fr-FR" w:bidi="fr-FR"/>
        </w:rPr>
        <w:t>2013/743/UE</w:t>
      </w:r>
      <w:r w:rsidRPr="00331ED1">
        <w:rPr>
          <w:szCs w:val="24"/>
          <w:lang w:eastAsia="fr-FR" w:bidi="fr-FR"/>
        </w:rPr>
        <w:t>;</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b)</w:t>
      </w:r>
      <w:r w:rsidRPr="00331ED1">
        <w:rPr>
          <w:szCs w:val="24"/>
          <w:lang w:eastAsia="fr-FR" w:bidi="fr-FR"/>
        </w:rPr>
        <w:tab/>
        <w:t>les exigences applicables à la contribution de l'EDCTP-II-IS</w:t>
      </w:r>
      <w:r w:rsidRPr="00331ED1" w:rsidDel="00050875">
        <w:rPr>
          <w:szCs w:val="24"/>
          <w:lang w:eastAsia="fr-FR" w:bidi="fr-FR"/>
        </w:rPr>
        <w:t xml:space="preserve"> </w:t>
      </w:r>
      <w:r w:rsidRPr="00331ED1">
        <w:rPr>
          <w:szCs w:val="24"/>
          <w:lang w:eastAsia="fr-FR" w:bidi="fr-FR"/>
        </w:rPr>
        <w:t xml:space="preserve">au suivi visé à l'annexe III de la décision </w:t>
      </w:r>
      <w:r w:rsidRPr="00331ED1">
        <w:rPr>
          <w:b/>
          <w:i/>
          <w:szCs w:val="24"/>
          <w:lang w:eastAsia="fr-FR" w:bidi="fr-FR"/>
        </w:rPr>
        <w:t>2013/743/UE</w:t>
      </w:r>
      <w:r w:rsidRPr="00331ED1">
        <w:rPr>
          <w:szCs w:val="24"/>
          <w:lang w:eastAsia="fr-FR" w:bidi="fr-FR"/>
        </w:rPr>
        <w:t>;</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c)</w:t>
      </w:r>
      <w:r w:rsidRPr="00331ED1">
        <w:rPr>
          <w:szCs w:val="24"/>
          <w:lang w:eastAsia="fr-FR" w:bidi="fr-FR"/>
        </w:rPr>
        <w:tab/>
        <w:t>les indicateurs de performance spécifiques liés au fonctionnement de l'EDCTP-II-IS;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br w:type="page"/>
        <w:t>d)</w:t>
      </w:r>
      <w:r w:rsidRPr="00331ED1">
        <w:rPr>
          <w:szCs w:val="24"/>
          <w:lang w:eastAsia="fr-FR" w:bidi="fr-FR"/>
        </w:rPr>
        <w:tab/>
        <w:t xml:space="preserve">les exigences applicables à l'EDCTP-II-IS en matière de communication d'informations sur les coûts administratifs et les chiffres détaillés concernant la mise en œuvre du programme EDCTP-II; </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e)</w:t>
      </w:r>
      <w:r w:rsidRPr="00331ED1">
        <w:rPr>
          <w:szCs w:val="24"/>
          <w:lang w:eastAsia="fr-FR" w:bidi="fr-FR"/>
        </w:rPr>
        <w:tab/>
        <w:t>les modalités relatives à la communication des données nécessaires pour que la Commission soit en mesure de s'acquitter de ses obligations en matière de diffusion d'informations et d'établissement de rapports;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f)</w:t>
      </w:r>
      <w:r w:rsidRPr="00331ED1">
        <w:rPr>
          <w:szCs w:val="24"/>
          <w:lang w:eastAsia="fr-FR" w:bidi="fr-FR"/>
        </w:rPr>
        <w:tab/>
        <w:t>les modalités d'approbation ou de rejet par la Commission du projet de plan de travail annuel de l'EDCTP-II, avant son adoption par l'EDCTP-II-IS; et</w:t>
      </w:r>
    </w:p>
    <w:p w:rsidR="002022AB" w:rsidRPr="00331ED1" w:rsidRDefault="002022AB" w:rsidP="00075179">
      <w:pPr>
        <w:spacing w:before="120" w:after="120" w:line="360" w:lineRule="auto"/>
        <w:ind w:left="1418" w:hanging="567"/>
        <w:rPr>
          <w:szCs w:val="24"/>
          <w:lang w:eastAsia="fr-FR" w:bidi="fr-FR"/>
        </w:rPr>
      </w:pPr>
      <w:r w:rsidRPr="00331ED1">
        <w:rPr>
          <w:b/>
          <w:i/>
          <w:color w:val="000000"/>
          <w:szCs w:val="24"/>
          <w:lang w:eastAsia="fr-FR" w:bidi="fr-FR"/>
        </w:rPr>
        <w:t xml:space="preserve">g) </w:t>
      </w:r>
      <w:r w:rsidRPr="00331ED1">
        <w:rPr>
          <w:szCs w:val="24"/>
          <w:lang w:eastAsia="fr-FR" w:bidi="fr-FR"/>
        </w:rPr>
        <w:tab/>
      </w:r>
      <w:r w:rsidRPr="00331ED1">
        <w:rPr>
          <w:b/>
          <w:i/>
          <w:color w:val="000000"/>
          <w:szCs w:val="24"/>
          <w:lang w:eastAsia="fr-FR" w:bidi="fr-FR"/>
        </w:rPr>
        <w:t>des dispositions relatives à la publication des appels à propositions lancés par le programme EDCTP-II, en particulier sur le portail unique des participants ainsi que par d'autres moyens de diffusion électroniques dans le cadre d'Horizon 2020 gérés par la Commission.</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8</w:t>
      </w:r>
      <w:r w:rsidRPr="00331ED1">
        <w:rPr>
          <w:szCs w:val="24"/>
          <w:lang w:eastAsia="fr-FR" w:bidi="fr-FR"/>
        </w:rPr>
        <w:br/>
        <w:t>Cessation, réduction ou suspension de la contribution financière de l'Union</w:t>
      </w:r>
    </w:p>
    <w:p w:rsidR="002022AB" w:rsidRPr="00331ED1" w:rsidRDefault="002022AB" w:rsidP="00075179">
      <w:pPr>
        <w:spacing w:before="120" w:after="120" w:line="360" w:lineRule="auto"/>
        <w:rPr>
          <w:szCs w:val="24"/>
          <w:lang w:eastAsia="fr-FR" w:bidi="fr-FR"/>
        </w:rPr>
      </w:pPr>
      <w:r w:rsidRPr="00331ED1">
        <w:rPr>
          <w:szCs w:val="24"/>
          <w:lang w:eastAsia="fr-FR" w:bidi="fr-FR"/>
        </w:rPr>
        <w:t>Si le programme EDCTP-II n'est pas mis en œuvre ou s'il est mis en œuvre de façon inadéquate, partielle ou tardive, la Commission peut mettre fin à la contribution financière de l'Union, la réduire proportionnellement ou la suspendre, en fonction de la mise en œuvre effective du programme EDCTP-II.</w:t>
      </w:r>
    </w:p>
    <w:p w:rsidR="002022AB" w:rsidRPr="00331ED1" w:rsidRDefault="002022AB" w:rsidP="00075179">
      <w:pPr>
        <w:spacing w:before="120" w:after="120" w:line="360" w:lineRule="auto"/>
        <w:rPr>
          <w:szCs w:val="24"/>
          <w:lang w:eastAsia="fr-FR" w:bidi="fr-FR"/>
        </w:rPr>
      </w:pPr>
      <w:r w:rsidRPr="00331ED1">
        <w:rPr>
          <w:szCs w:val="24"/>
          <w:lang w:eastAsia="fr-FR" w:bidi="fr-FR"/>
        </w:rPr>
        <w:t>Si les États participants ne contribuent pas, ou contribuent de manière partielle ou tardive au financement du programme EDCTP-II, la Commission peut mettre fin à la contribution financière de l'Union, la réduire proportionnellement ou la suspendre, en tenant compte du montant des fonds alloués par les États participants à la mise en œuvre du programme EDCTP-II.</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9</w:t>
      </w:r>
      <w:r w:rsidRPr="00331ED1">
        <w:rPr>
          <w:szCs w:val="24"/>
          <w:lang w:eastAsia="fr-FR" w:bidi="fr-FR"/>
        </w:rPr>
        <w:br/>
        <w:t>Audits ex post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Les audits ex post des dépenses liées aux actions indirectes sont effectués par l'EDCTP</w:t>
      </w:r>
      <w:r w:rsidRPr="00331ED1">
        <w:rPr>
          <w:szCs w:val="24"/>
          <w:lang w:eastAsia="fr-FR" w:bidi="fr-FR"/>
        </w:rPr>
        <w:noBreakHyphen/>
        <w:t>II</w:t>
      </w:r>
      <w:r w:rsidRPr="00331ED1">
        <w:rPr>
          <w:szCs w:val="24"/>
          <w:lang w:eastAsia="fr-FR" w:bidi="fr-FR"/>
        </w:rPr>
        <w:noBreakHyphen/>
        <w:t>IS conformément à l'article </w:t>
      </w:r>
      <w:r w:rsidRPr="00331ED1">
        <w:rPr>
          <w:b/>
          <w:i/>
          <w:color w:val="000000"/>
          <w:szCs w:val="24"/>
          <w:lang w:eastAsia="fr-FR" w:bidi="fr-FR"/>
        </w:rPr>
        <w:t>29</w:t>
      </w:r>
      <w:r w:rsidRPr="00331ED1">
        <w:rPr>
          <w:szCs w:val="24"/>
          <w:lang w:eastAsia="fr-FR" w:bidi="fr-FR"/>
        </w:rPr>
        <w:t xml:space="preserve"> du règlement (UE) n° </w:t>
      </w:r>
      <w:r w:rsidRPr="00331ED1">
        <w:rPr>
          <w:b/>
          <w:i/>
          <w:color w:val="000000"/>
          <w:szCs w:val="24"/>
          <w:lang w:eastAsia="fr-FR" w:bidi="fr-FR"/>
        </w:rPr>
        <w:t>1291/2013</w:t>
      </w:r>
      <w:r w:rsidRPr="00331ED1">
        <w:rPr>
          <w:szCs w:val="24"/>
          <w:lang w:eastAsia="fr-FR" w:bidi="fr-FR"/>
        </w:rPr>
        <w:t>.</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La Commission peut décider d'effectuer elle-même les audits visés au paragraphe 1.</w:t>
      </w:r>
      <w:r w:rsidRPr="00331ED1">
        <w:rPr>
          <w:b/>
          <w:i/>
          <w:color w:val="000000"/>
          <w:szCs w:val="24"/>
          <w:lang w:eastAsia="fr-FR" w:bidi="fr-FR"/>
        </w:rPr>
        <w:t xml:space="preserve"> Dans ce cas, elle agit conformément aux règles applicables, en particulier les dispositions des règlements (UE, Euratom) n° 966/2012, (UE) n° 1290/2013 et (UE) n° 1291/2013.</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Article 10</w:t>
      </w:r>
      <w:r w:rsidRPr="00331ED1">
        <w:rPr>
          <w:szCs w:val="24"/>
          <w:lang w:eastAsia="fr-FR" w:bidi="fr-FR"/>
        </w:rPr>
        <w:br/>
        <w:t>Protection des intérêts financiers de l'Union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La Commission prend les mesures appropriées pour garantir la protection des intérêts financiers de l'Union lors de la mise en œuvre d'actions financées au titre de la présente décision,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2.</w:t>
      </w:r>
      <w:r w:rsidRPr="00331ED1">
        <w:rPr>
          <w:szCs w:val="24"/>
          <w:lang w:eastAsia="fr-FR" w:bidi="fr-FR"/>
        </w:rPr>
        <w:tab/>
        <w:t>L'EDCTP-II-IS accorde au personnel de la Commission et aux autres personnes autorisées par celle-ci, ainsi qu'à la Cour des comptes, un droit d'accès à ses sites et locaux, ainsi qu'à toutes les informations, y compris sous forme électronique, nécessaires pour mener à bien leurs audits.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w:t>
      </w:r>
      <w:r w:rsidRPr="00331ED1">
        <w:rPr>
          <w:szCs w:val="24"/>
          <w:lang w:eastAsia="fr-FR" w:bidi="fr-FR"/>
        </w:rPr>
        <w:tab/>
        <w:t xml:space="preserve">L'Office européen de lutte antifraude (OLAF) peut effectuer des enquêtes, y compris des contrôles et vérifications sur place, conformément </w:t>
      </w:r>
      <w:r w:rsidRPr="00331ED1">
        <w:rPr>
          <w:color w:val="000000"/>
          <w:szCs w:val="24"/>
          <w:lang w:eastAsia="fr-FR" w:bidi="fr-FR"/>
        </w:rPr>
        <w:t>▌</w:t>
      </w:r>
      <w:r w:rsidRPr="00331ED1">
        <w:rPr>
          <w:b/>
          <w:i/>
          <w:color w:val="000000"/>
          <w:szCs w:val="24"/>
          <w:lang w:eastAsia="fr-FR" w:bidi="fr-FR"/>
        </w:rPr>
        <w:t>aux dispositions et procédures prévues par le règlement (Euratom, CE) n° 2185/96 du Conseil</w:t>
      </w:r>
      <w:r w:rsidRPr="00331ED1">
        <w:rPr>
          <w:i/>
          <w:color w:val="000000"/>
          <w:szCs w:val="24"/>
          <w:vertAlign w:val="superscript"/>
          <w:lang w:eastAsia="fr-FR" w:bidi="fr-FR"/>
        </w:rPr>
        <w:footnoteReference w:id="60"/>
      </w:r>
      <w:r w:rsidRPr="00331ED1">
        <w:rPr>
          <w:b/>
          <w:i/>
          <w:color w:val="000000"/>
          <w:szCs w:val="24"/>
          <w:lang w:eastAsia="fr-FR" w:bidi="fr-FR"/>
        </w:rPr>
        <w:t xml:space="preserve"> et par le règlement (UE, Euratom) n° 883/2013</w:t>
      </w:r>
      <w:r w:rsidRPr="00331ED1">
        <w:rPr>
          <w:szCs w:val="24"/>
          <w:lang w:eastAsia="fr-FR" w:bidi="fr-FR"/>
        </w:rPr>
        <w:t xml:space="preserve"> du Parlement européen et du Conseil</w:t>
      </w:r>
      <w:r w:rsidRPr="00331ED1">
        <w:rPr>
          <w:b/>
          <w:szCs w:val="24"/>
          <w:vertAlign w:val="superscript"/>
          <w:lang w:eastAsia="fr-FR" w:bidi="fr-FR"/>
        </w:rPr>
        <w:footnoteReference w:id="61"/>
      </w:r>
      <w:r w:rsidRPr="00331ED1">
        <w:rPr>
          <w:szCs w:val="24"/>
          <w:lang w:eastAsia="fr-FR" w:bidi="fr-FR"/>
        </w:rPr>
        <w:t>, en vue d'établir l'existence éventuelle d'une fraude, d'un acte de corruption ou de toute autre activité illégale portant atteinte aux intérêts financiers de l'Union, dans le cadre d'une convention de subvention, d'une décision de subvention ou d'un contrat financé conformément à la présente décision.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4.</w:t>
      </w:r>
      <w:r w:rsidRPr="00331ED1">
        <w:rPr>
          <w:szCs w:val="24"/>
          <w:lang w:eastAsia="fr-FR" w:bidi="fr-FR"/>
        </w:rPr>
        <w:tab/>
        <w:t>Les contrats, conventions de subvention et décisions de subvention résultant de la mise en œuvre de la présente décision contiennent des dispositions habilitant expressément la Commission, l'EDCTP-II-IS, la Cour des comptes et l'OLAF à procéder à ces audits et enquêtes, conformément à leurs compétences respectives.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5.</w:t>
      </w:r>
      <w:r w:rsidRPr="00331ED1">
        <w:rPr>
          <w:szCs w:val="24"/>
          <w:lang w:eastAsia="fr-FR" w:bidi="fr-FR"/>
        </w:rPr>
        <w:tab/>
        <w:t>Lors de la mise en œuvre du programme EDCTP-II, les États participants prennent les mesures législatives, réglementaires, administratives et autres qui sont nécessaires à la protection des intérêts financiers de l'Union, notamment pour garantir le recouvrement intégral des sommes éventuellement dues à l'Union conformément au règlement (UE, Euratom) nº 966/2012 et au règlement délégué (UE) nº 1268/2012.</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Article 11</w:t>
      </w:r>
      <w:r w:rsidRPr="00331ED1">
        <w:rPr>
          <w:szCs w:val="24"/>
          <w:lang w:eastAsia="fr-FR" w:bidi="fr-FR"/>
        </w:rPr>
        <w:br/>
        <w:t>Communication d'informations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À la demande de la Commission, l'EDCTP-II-IS transmet toute information nécessaire à l'élaboration des rapports visés à l'article 12.</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Les États participants transmettent à la Commission, par l'intermédiaire de l'EDCTP-II-IS, toute information demandée par le Parlement européen, le Conseil ou la Cour des comptes concernant la gestion financière du programme EDCTP-II.</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w:t>
      </w:r>
      <w:r w:rsidRPr="00331ED1">
        <w:rPr>
          <w:szCs w:val="24"/>
          <w:lang w:eastAsia="fr-FR" w:bidi="fr-FR"/>
        </w:rPr>
        <w:tab/>
        <w:t>La Commission inclut les informations visées au paragraphe 2 du présent article dans les rapports visés à l'article 12.</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12</w:t>
      </w:r>
      <w:r w:rsidRPr="00331ED1">
        <w:rPr>
          <w:szCs w:val="24"/>
          <w:lang w:eastAsia="fr-FR" w:bidi="fr-FR"/>
        </w:rPr>
        <w:br/>
        <w:t xml:space="preserve">Évaluation </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 xml:space="preserve">Au plus tard le </w:t>
      </w:r>
      <w:r w:rsidRPr="00331ED1">
        <w:rPr>
          <w:b/>
          <w:i/>
          <w:szCs w:val="24"/>
          <w:lang w:eastAsia="fr-FR" w:bidi="fr-FR"/>
        </w:rPr>
        <w:t>30 juin </w:t>
      </w:r>
      <w:r w:rsidRPr="00331ED1">
        <w:rPr>
          <w:szCs w:val="24"/>
          <w:lang w:eastAsia="fr-FR" w:bidi="fr-FR"/>
        </w:rPr>
        <w:t>2017, la Commission procède à une évaluation intermédiaire du programme EDCTP-II,</w:t>
      </w:r>
      <w:r w:rsidRPr="00331ED1">
        <w:rPr>
          <w:b/>
          <w:i/>
          <w:szCs w:val="24"/>
          <w:lang w:eastAsia="fr-FR" w:bidi="fr-FR"/>
        </w:rPr>
        <w:t xml:space="preserve"> avec l'assistance d'experts indépendants</w:t>
      </w:r>
      <w:r w:rsidRPr="00331ED1">
        <w:rPr>
          <w:szCs w:val="24"/>
          <w:lang w:eastAsia="fr-FR" w:bidi="fr-FR"/>
        </w:rPr>
        <w:t>. Elle établit un rapport d'évaluation contenant les conclusions de cette évaluation ainsi que ses observations. Elle transmet ce rapport au Parlement européen et au Conseil au plus tard le</w:t>
      </w:r>
      <w:r w:rsidRPr="00331ED1">
        <w:rPr>
          <w:b/>
          <w:i/>
          <w:color w:val="000000"/>
          <w:szCs w:val="24"/>
          <w:lang w:eastAsia="fr-FR" w:bidi="fr-FR"/>
        </w:rPr>
        <w:t xml:space="preserve"> 31 décembre 2017</w:t>
      </w:r>
      <w:r w:rsidRPr="00331ED1">
        <w:rPr>
          <w:szCs w:val="24"/>
          <w:lang w:eastAsia="fr-FR" w:bidi="fr-FR"/>
        </w:rPr>
        <w:t>.</w:t>
      </w:r>
      <w:r w:rsidRPr="00331ED1">
        <w:rPr>
          <w:b/>
          <w:i/>
          <w:color w:val="000000"/>
          <w:szCs w:val="24"/>
          <w:lang w:eastAsia="fr-FR" w:bidi="fr-FR"/>
        </w:rPr>
        <w:t xml:space="preserve"> Il est tenu compte des résultats de l'évaluation intermédiaire du programme EDCTP-II dans l'évaluation intermédiaire d'Horizon 2020.</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Au terme de la participation de l'Union au programme EDCTP-II, mais au plus tard le 31 décembre 2023, la Commission procède à une nouvelle évaluation intermédiaire du programme EDCTP-II. Elle établit un rapport d'évaluation qui doit contenir les résultats de cette évaluation. Elle transmet ce rapport au Parlement européen et au Conseil.</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3.</w:t>
      </w:r>
      <w:r w:rsidRPr="00331ED1">
        <w:rPr>
          <w:szCs w:val="24"/>
          <w:lang w:eastAsia="fr-FR" w:bidi="fr-FR"/>
        </w:rPr>
        <w:tab/>
        <w:t>Au plus tard le 31 décembre 2026, la Commission procède à une évaluation finale du programme EDCTP-II. Elle transmet les résultats de cette évaluation au Parlement européen et au Conseil.</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Article 13</w:t>
      </w:r>
      <w:r w:rsidRPr="00331ED1">
        <w:rPr>
          <w:szCs w:val="24"/>
          <w:lang w:eastAsia="fr-FR" w:bidi="fr-FR"/>
        </w:rPr>
        <w:br/>
        <w:t>Entrée en vigueur</w:t>
      </w:r>
    </w:p>
    <w:p w:rsidR="002022AB" w:rsidRPr="00331ED1" w:rsidRDefault="002022AB" w:rsidP="00075179">
      <w:pPr>
        <w:spacing w:before="120" w:after="120" w:line="360" w:lineRule="auto"/>
        <w:rPr>
          <w:i/>
          <w:iCs/>
          <w:szCs w:val="24"/>
          <w:lang w:eastAsia="fr-FR" w:bidi="fr-FR"/>
        </w:rPr>
      </w:pPr>
      <w:r w:rsidRPr="00331ED1">
        <w:rPr>
          <w:szCs w:val="24"/>
          <w:lang w:eastAsia="fr-FR" w:bidi="fr-FR"/>
        </w:rPr>
        <w:t xml:space="preserve">La présente décision entre en vigueur le vingtième jour suivant celui de sa publication au </w:t>
      </w:r>
      <w:r w:rsidRPr="00331ED1">
        <w:rPr>
          <w:i/>
          <w:szCs w:val="24"/>
          <w:lang w:eastAsia="fr-FR" w:bidi="fr-FR"/>
        </w:rPr>
        <w:t>Journal officiel de l'Union européenne</w:t>
      </w:r>
      <w:r w:rsidRPr="00331ED1">
        <w:rPr>
          <w:szCs w:val="24"/>
          <w:lang w:eastAsia="fr-FR" w:bidi="fr-FR"/>
        </w:rPr>
        <w:t>.</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Article 14</w:t>
      </w:r>
      <w:r w:rsidRPr="00331ED1">
        <w:rPr>
          <w:szCs w:val="24"/>
          <w:lang w:eastAsia="fr-FR" w:bidi="fr-FR"/>
        </w:rPr>
        <w:br/>
        <w:t>Destinataires</w:t>
      </w:r>
    </w:p>
    <w:p w:rsidR="002022AB" w:rsidRPr="00331ED1" w:rsidRDefault="002022AB" w:rsidP="00075179">
      <w:pPr>
        <w:spacing w:before="120" w:after="120" w:line="360" w:lineRule="auto"/>
        <w:rPr>
          <w:szCs w:val="24"/>
          <w:lang w:eastAsia="fr-FR" w:bidi="fr-FR"/>
        </w:rPr>
      </w:pPr>
      <w:r w:rsidRPr="00331ED1">
        <w:rPr>
          <w:szCs w:val="24"/>
          <w:lang w:eastAsia="fr-FR" w:bidi="fr-FR"/>
        </w:rPr>
        <w:t>Les États membres sont destinataires de la présente décision.</w:t>
      </w:r>
    </w:p>
    <w:p w:rsidR="002022AB" w:rsidRPr="00331ED1" w:rsidRDefault="002022AB" w:rsidP="00075179">
      <w:pPr>
        <w:spacing w:before="120" w:line="360" w:lineRule="auto"/>
        <w:rPr>
          <w:szCs w:val="24"/>
          <w:lang w:eastAsia="fr-FR" w:bidi="fr-FR"/>
        </w:rPr>
      </w:pPr>
      <w:r w:rsidRPr="00331ED1">
        <w:rPr>
          <w:szCs w:val="24"/>
          <w:lang w:eastAsia="fr-FR" w:bidi="fr-FR"/>
        </w:rPr>
        <w:t xml:space="preserve">Fait à </w:t>
      </w:r>
    </w:p>
    <w:p w:rsidR="002022AB" w:rsidRPr="00331ED1" w:rsidRDefault="002022AB" w:rsidP="00075179">
      <w:pPr>
        <w:spacing w:before="720" w:line="360" w:lineRule="auto"/>
        <w:rPr>
          <w:i/>
          <w:iCs/>
          <w:szCs w:val="24"/>
          <w:lang w:eastAsia="fr-FR" w:bidi="fr-FR"/>
        </w:rPr>
      </w:pPr>
      <w:r w:rsidRPr="00331ED1">
        <w:rPr>
          <w:i/>
          <w:szCs w:val="24"/>
          <w:lang w:eastAsia="fr-FR" w:bidi="fr-FR"/>
        </w:rPr>
        <w:t>Par le Parlement européen</w:t>
      </w:r>
      <w:r w:rsidRPr="00331ED1">
        <w:rPr>
          <w:szCs w:val="24"/>
          <w:lang w:eastAsia="fr-FR" w:bidi="fr-FR"/>
        </w:rPr>
        <w:tab/>
      </w:r>
      <w:r w:rsidRPr="00331ED1">
        <w:rPr>
          <w:szCs w:val="24"/>
          <w:lang w:eastAsia="fr-FR" w:bidi="fr-FR"/>
        </w:rPr>
        <w:tab/>
      </w:r>
      <w:r w:rsidRPr="00331ED1">
        <w:rPr>
          <w:szCs w:val="24"/>
          <w:lang w:eastAsia="fr-FR" w:bidi="fr-FR"/>
        </w:rPr>
        <w:tab/>
      </w:r>
      <w:r w:rsidRPr="00331ED1">
        <w:rPr>
          <w:szCs w:val="24"/>
          <w:lang w:eastAsia="fr-FR" w:bidi="fr-FR"/>
        </w:rPr>
        <w:tab/>
      </w:r>
      <w:r w:rsidRPr="00331ED1">
        <w:rPr>
          <w:i/>
          <w:szCs w:val="24"/>
          <w:lang w:eastAsia="fr-FR" w:bidi="fr-FR"/>
        </w:rPr>
        <w:t>Par le Conseil</w:t>
      </w:r>
    </w:p>
    <w:p w:rsidR="002022AB" w:rsidRPr="00331ED1" w:rsidRDefault="002022AB" w:rsidP="00075179">
      <w:pPr>
        <w:spacing w:line="360" w:lineRule="auto"/>
        <w:rPr>
          <w:i/>
          <w:iCs/>
          <w:szCs w:val="24"/>
          <w:lang w:eastAsia="fr-FR" w:bidi="fr-FR"/>
        </w:rPr>
      </w:pPr>
      <w:r w:rsidRPr="00331ED1">
        <w:rPr>
          <w:i/>
          <w:szCs w:val="24"/>
          <w:lang w:eastAsia="fr-FR" w:bidi="fr-FR"/>
        </w:rPr>
        <w:t>Le président</w:t>
      </w:r>
      <w:r w:rsidRPr="00331ED1">
        <w:rPr>
          <w:szCs w:val="24"/>
          <w:lang w:eastAsia="fr-FR" w:bidi="fr-FR"/>
        </w:rPr>
        <w:tab/>
      </w:r>
      <w:r w:rsidRPr="00331ED1">
        <w:rPr>
          <w:szCs w:val="24"/>
          <w:lang w:eastAsia="fr-FR" w:bidi="fr-FR"/>
        </w:rPr>
        <w:tab/>
      </w:r>
      <w:r w:rsidRPr="00331ED1">
        <w:rPr>
          <w:szCs w:val="24"/>
          <w:lang w:eastAsia="fr-FR" w:bidi="fr-FR"/>
        </w:rPr>
        <w:tab/>
      </w:r>
      <w:r w:rsidRPr="00331ED1">
        <w:rPr>
          <w:szCs w:val="24"/>
          <w:lang w:eastAsia="fr-FR" w:bidi="fr-FR"/>
        </w:rPr>
        <w:tab/>
      </w:r>
      <w:r w:rsidRPr="00331ED1">
        <w:rPr>
          <w:szCs w:val="24"/>
          <w:lang w:eastAsia="fr-FR" w:bidi="fr-FR"/>
        </w:rPr>
        <w:tab/>
      </w:r>
      <w:r w:rsidRPr="00331ED1">
        <w:rPr>
          <w:szCs w:val="24"/>
          <w:lang w:eastAsia="fr-FR" w:bidi="fr-FR"/>
        </w:rPr>
        <w:tab/>
      </w:r>
      <w:r w:rsidRPr="00331ED1">
        <w:rPr>
          <w:i/>
          <w:szCs w:val="24"/>
          <w:lang w:eastAsia="fr-FR" w:bidi="fr-FR"/>
        </w:rPr>
        <w:t>Le président</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 xml:space="preserve">ANNEXE I </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OBJECTIFS DU PROGRAMME EDCTP-II</w:t>
      </w:r>
    </w:p>
    <w:p w:rsidR="002022AB" w:rsidRPr="00331ED1" w:rsidRDefault="002022AB" w:rsidP="00075179">
      <w:pPr>
        <w:spacing w:before="120" w:after="120" w:line="360" w:lineRule="auto"/>
        <w:rPr>
          <w:szCs w:val="24"/>
          <w:lang w:eastAsia="fr-FR" w:bidi="fr-FR"/>
        </w:rPr>
      </w:pPr>
      <w:r w:rsidRPr="00331ED1">
        <w:rPr>
          <w:szCs w:val="24"/>
          <w:lang w:eastAsia="fr-FR" w:bidi="fr-FR"/>
        </w:rPr>
        <w:t>L'EDCTP-II contribue à la réalisation des objectifs suivants:</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1)</w:t>
      </w:r>
      <w:r w:rsidRPr="00331ED1">
        <w:rPr>
          <w:szCs w:val="24"/>
          <w:lang w:eastAsia="fr-FR" w:bidi="fr-FR"/>
        </w:rPr>
        <w:tab/>
        <w:t>Objectif général</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L'EDCTP-II contribue à la réduction du fardeau socio-économique que représente les maladies liées à la pauvreté dans les pays en développement, en particulier en Afrique subsaharienne, en accélérant le développement clinique d'interventions médicales</w:t>
      </w:r>
      <w:r w:rsidRPr="00331ED1">
        <w:rPr>
          <w:b/>
          <w:i/>
          <w:szCs w:val="24"/>
          <w:vertAlign w:val="superscript"/>
          <w:lang w:eastAsia="fr-FR" w:bidi="fr-FR"/>
        </w:rPr>
        <w:footnoteReference w:id="62"/>
      </w:r>
      <w:r w:rsidRPr="00331ED1">
        <w:rPr>
          <w:szCs w:val="24"/>
          <w:lang w:eastAsia="fr-FR" w:bidi="fr-FR"/>
        </w:rPr>
        <w:t xml:space="preserve"> efficaces, sûres</w:t>
      </w:r>
      <w:r w:rsidRPr="00331ED1">
        <w:rPr>
          <w:b/>
          <w:i/>
          <w:color w:val="000000"/>
          <w:szCs w:val="24"/>
          <w:lang w:eastAsia="fr-FR" w:bidi="fr-FR"/>
        </w:rPr>
        <w:t>, accessibles, adéquates</w:t>
      </w:r>
      <w:r w:rsidRPr="00331ED1">
        <w:rPr>
          <w:szCs w:val="24"/>
          <w:lang w:eastAsia="fr-FR" w:bidi="fr-FR"/>
        </w:rPr>
        <w:t xml:space="preserve"> et abordables pour concernant ces maladies, en partenariat avec les pays d'Afrique subsaharienne.</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t>2)</w:t>
      </w:r>
      <w:r w:rsidRPr="00331ED1">
        <w:rPr>
          <w:szCs w:val="24"/>
          <w:lang w:eastAsia="fr-FR" w:bidi="fr-FR"/>
        </w:rPr>
        <w:tab/>
        <w:t>Objectifs spécifiques</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Afin de contribuer à l'objectif général, le programme EDCTP-II atteint les objectifs spécifiques suivants: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br w:type="page"/>
        <w:t>a)</w:t>
      </w:r>
      <w:r w:rsidRPr="00331ED1">
        <w:rPr>
          <w:szCs w:val="24"/>
          <w:lang w:eastAsia="fr-FR" w:bidi="fr-FR"/>
        </w:rPr>
        <w:tab/>
        <w:t xml:space="preserve">procéder à un plus grand nombre d'interventions médicales, nouvelles ou améliorées, concernant le VIH/sida, la tuberculose, le paludisme et d'autres maladies liées à la pauvreté, </w:t>
      </w:r>
      <w:r w:rsidRPr="00331ED1">
        <w:rPr>
          <w:b/>
          <w:i/>
          <w:color w:val="000000"/>
          <w:szCs w:val="24"/>
          <w:lang w:eastAsia="fr-FR" w:bidi="fr-FR"/>
        </w:rPr>
        <w:t>y compris des maladies négligées,</w:t>
      </w:r>
      <w:r w:rsidRPr="00331ED1">
        <w:rPr>
          <w:szCs w:val="24"/>
          <w:lang w:eastAsia="fr-FR" w:bidi="fr-FR"/>
        </w:rPr>
        <w:t xml:space="preserve"> et d'ici la fin du programme, avoir produit au moins une nouvelle intervention médicale; avoir diffusé </w:t>
      </w:r>
      <w:r w:rsidRPr="00331ED1">
        <w:rPr>
          <w:b/>
          <w:i/>
          <w:color w:val="000000"/>
          <w:szCs w:val="24"/>
          <w:lang w:eastAsia="fr-FR" w:bidi="fr-FR"/>
        </w:rPr>
        <w:t>environ</w:t>
      </w:r>
      <w:r w:rsidRPr="00331ED1">
        <w:rPr>
          <w:szCs w:val="24"/>
          <w:lang w:eastAsia="fr-FR" w:bidi="fr-FR"/>
        </w:rPr>
        <w:t xml:space="preserve"> trente lignes directrices pour améliorer ou prolonger l'utilisation d'interventions médicales existantes et avoir fait progresser le développement clinique d'</w:t>
      </w:r>
      <w:r w:rsidRPr="00331ED1">
        <w:rPr>
          <w:b/>
          <w:i/>
          <w:color w:val="000000"/>
          <w:szCs w:val="24"/>
          <w:lang w:eastAsia="fr-FR" w:bidi="fr-FR"/>
        </w:rPr>
        <w:t>environ</w:t>
      </w:r>
      <w:r w:rsidRPr="00331ED1">
        <w:rPr>
          <w:szCs w:val="24"/>
          <w:lang w:eastAsia="fr-FR" w:bidi="fr-FR"/>
        </w:rPr>
        <w:t xml:space="preserve"> vingt modes d'interventions médicales candidats;</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b)</w:t>
      </w:r>
      <w:r w:rsidRPr="00331ED1">
        <w:rPr>
          <w:szCs w:val="24"/>
          <w:lang w:eastAsia="fr-FR" w:bidi="fr-FR"/>
        </w:rPr>
        <w:tab/>
        <w:t>renforcer la coopération avec les pays d'Afrique subsaharienne, notamment en ce qui concerne le développement de leur capacité à mener des essais cliniques dans le strict respect des principes éthiques fondamentaux et de la législation nationale, européenne et internationale en la matière, dont la charte des droits fondamentaux de l'Union européenne, la convention européenne des droits de l'homme et ses protocoles additionnels, la version 2008 de la déclaration d'Helsinki élaborée par l'Association médicale mondiale, et les normes en matière de bonnes pratiques cliniques adoptées par la Conférence internationale sur l'harmonisation des exigences techniques pour l'enregistrement des médicaments à usage humain (ICH);</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br w:type="page"/>
        <w:t>c)</w:t>
      </w:r>
      <w:r w:rsidRPr="00331ED1">
        <w:rPr>
          <w:szCs w:val="24"/>
          <w:lang w:eastAsia="fr-FR" w:bidi="fr-FR"/>
        </w:rPr>
        <w:tab/>
        <w:t>améliorer la coordination, la mise en cohérence et</w:t>
      </w:r>
      <w:r w:rsidRPr="00331ED1">
        <w:rPr>
          <w:b/>
          <w:i/>
          <w:color w:val="000000"/>
          <w:szCs w:val="24"/>
          <w:lang w:eastAsia="fr-FR" w:bidi="fr-FR"/>
        </w:rPr>
        <w:t>, le cas échéant,</w:t>
      </w:r>
      <w:r w:rsidRPr="00331ED1">
        <w:rPr>
          <w:szCs w:val="24"/>
          <w:lang w:eastAsia="fr-FR" w:bidi="fr-FR"/>
        </w:rPr>
        <w:t xml:space="preserve"> l'intégration des programmes nationaux concernés, afin d'améliorer le rapport coût-efficacité des investissements publics européens. </w:t>
      </w:r>
      <w:r w:rsidRPr="00331ED1">
        <w:rPr>
          <w:b/>
          <w:i/>
          <w:color w:val="000000"/>
          <w:szCs w:val="24"/>
          <w:lang w:eastAsia="fr-FR" w:bidi="fr-FR"/>
        </w:rPr>
        <w:t xml:space="preserve">Par ailleurs, il y a lieu d'établir les priorités en matière de recherche d'une manière centrée sur les objectifs, afin d'accélérer les résultats et de contribuer au contrôle et à l'éradication des maladies liées à la pauvreté, y compris les maladies négligées; </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d)</w:t>
      </w:r>
      <w:r w:rsidRPr="00331ED1">
        <w:rPr>
          <w:szCs w:val="24"/>
          <w:lang w:eastAsia="fr-FR" w:bidi="fr-FR"/>
        </w:rPr>
        <w:tab/>
        <w:t xml:space="preserve">élargir la coopération internationale avec d'autres </w:t>
      </w:r>
      <w:r w:rsidRPr="00331ED1">
        <w:rPr>
          <w:b/>
          <w:i/>
          <w:color w:val="000000"/>
          <w:szCs w:val="24"/>
          <w:lang w:eastAsia="fr-FR" w:bidi="fr-FR"/>
        </w:rPr>
        <w:t>partenaires</w:t>
      </w:r>
      <w:r w:rsidRPr="00331ED1">
        <w:rPr>
          <w:szCs w:val="24"/>
          <w:lang w:eastAsia="fr-FR" w:bidi="fr-FR"/>
        </w:rPr>
        <w:t xml:space="preserve"> publics et privés </w:t>
      </w:r>
      <w:r w:rsidRPr="00331ED1">
        <w:rPr>
          <w:b/>
          <w:i/>
          <w:color w:val="000000"/>
          <w:szCs w:val="24"/>
          <w:lang w:eastAsia="fr-FR" w:bidi="fr-FR"/>
        </w:rPr>
        <w:t>afin de garantir la maximisation de l'impact de l'ensemble des recherches et la prise en compte des synergies et de mobiliser des ressources et des investissements</w:t>
      </w:r>
      <w:r w:rsidRPr="00331ED1">
        <w:rPr>
          <w:szCs w:val="24"/>
          <w:lang w:eastAsia="fr-FR" w:bidi="fr-FR"/>
        </w:rPr>
        <w:t>;</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e)</w:t>
      </w:r>
      <w:r w:rsidRPr="00331ED1">
        <w:rPr>
          <w:szCs w:val="24"/>
          <w:lang w:eastAsia="fr-FR" w:bidi="fr-FR"/>
        </w:rPr>
        <w:tab/>
        <w:t>accroître l'impact grâce à une coopération efficace avec les initiatives de l'Union en la matière, y compris l'aide au développement de l'Union.</w:t>
      </w:r>
    </w:p>
    <w:p w:rsidR="002022AB" w:rsidRPr="00331ED1" w:rsidRDefault="002022AB" w:rsidP="00075179">
      <w:pPr>
        <w:spacing w:before="120" w:after="120" w:line="360" w:lineRule="auto"/>
        <w:ind w:left="851" w:hanging="851"/>
        <w:rPr>
          <w:szCs w:val="24"/>
          <w:lang w:eastAsia="fr-FR" w:bidi="fr-FR"/>
        </w:rPr>
      </w:pPr>
      <w:r w:rsidRPr="00331ED1">
        <w:rPr>
          <w:szCs w:val="24"/>
          <w:lang w:eastAsia="fr-FR" w:bidi="fr-FR"/>
        </w:rPr>
        <w:br w:type="page"/>
        <w:t>3)</w:t>
      </w:r>
      <w:r w:rsidRPr="00331ED1">
        <w:rPr>
          <w:szCs w:val="24"/>
          <w:lang w:eastAsia="fr-FR" w:bidi="fr-FR"/>
        </w:rPr>
        <w:tab/>
      </w:r>
      <w:r w:rsidRPr="00331ED1">
        <w:rPr>
          <w:b/>
          <w:i/>
          <w:color w:val="000000"/>
          <w:szCs w:val="24"/>
          <w:lang w:eastAsia="fr-FR" w:bidi="fr-FR"/>
        </w:rPr>
        <w:t>Indicateurs</w:t>
      </w:r>
      <w:r w:rsidRPr="00331ED1">
        <w:rPr>
          <w:szCs w:val="24"/>
          <w:lang w:eastAsia="fr-FR" w:bidi="fr-FR"/>
        </w:rPr>
        <w:t xml:space="preserve"> opérationnels </w:t>
      </w:r>
      <w:r w:rsidRPr="00331ED1">
        <w:rPr>
          <w:b/>
          <w:i/>
          <w:color w:val="000000"/>
          <w:szCs w:val="24"/>
          <w:lang w:eastAsia="fr-FR" w:bidi="fr-FR"/>
        </w:rPr>
        <w:t>et</w:t>
      </w:r>
      <w:r w:rsidRPr="00331ED1">
        <w:rPr>
          <w:szCs w:val="24"/>
          <w:lang w:eastAsia="fr-FR" w:bidi="fr-FR"/>
        </w:rPr>
        <w:t xml:space="preserve"> objectifs</w:t>
      </w:r>
    </w:p>
    <w:p w:rsidR="002022AB" w:rsidRPr="00331ED1" w:rsidRDefault="002022AB" w:rsidP="00075179">
      <w:pPr>
        <w:spacing w:before="120" w:after="120" w:line="360" w:lineRule="auto"/>
        <w:ind w:left="851"/>
        <w:rPr>
          <w:szCs w:val="24"/>
          <w:lang w:eastAsia="fr-FR" w:bidi="fr-FR"/>
        </w:rPr>
      </w:pPr>
      <w:r w:rsidRPr="00331ED1">
        <w:rPr>
          <w:szCs w:val="24"/>
          <w:lang w:eastAsia="fr-FR" w:bidi="fr-FR"/>
        </w:rPr>
        <w:t xml:space="preserve">Afin d'atteindre les objectifs spécifiques énoncés au point 2, les </w:t>
      </w:r>
      <w:r w:rsidRPr="00331ED1">
        <w:rPr>
          <w:b/>
          <w:i/>
          <w:color w:val="000000"/>
          <w:szCs w:val="24"/>
          <w:lang w:eastAsia="fr-FR" w:bidi="fr-FR"/>
        </w:rPr>
        <w:t>indicateurs</w:t>
      </w:r>
      <w:r w:rsidRPr="00331ED1">
        <w:rPr>
          <w:szCs w:val="24"/>
          <w:lang w:eastAsia="fr-FR" w:bidi="fr-FR"/>
        </w:rPr>
        <w:t xml:space="preserve"> suivants </w:t>
      </w:r>
      <w:r w:rsidRPr="00331ED1">
        <w:rPr>
          <w:b/>
          <w:i/>
          <w:color w:val="000000"/>
          <w:szCs w:val="24"/>
          <w:lang w:eastAsia="fr-FR" w:bidi="fr-FR"/>
        </w:rPr>
        <w:t>font l'objet d'un suivi tout au long de la mise en œuvre</w:t>
      </w:r>
      <w:r w:rsidRPr="00331ED1">
        <w:rPr>
          <w:szCs w:val="24"/>
          <w:lang w:eastAsia="fr-FR" w:bidi="fr-FR"/>
        </w:rPr>
        <w:t xml:space="preserve"> du programme EDCTP-II:</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a)</w:t>
      </w:r>
      <w:r w:rsidRPr="00331ED1">
        <w:rPr>
          <w:szCs w:val="24"/>
          <w:lang w:eastAsia="fr-FR" w:bidi="fr-FR"/>
        </w:rPr>
        <w:tab/>
        <w:t>Soutenir les essais cliniques d'interventions médicales, nouvelles ou améliorées, pour les maladies liées à la pauvreté</w:t>
      </w:r>
      <w:r w:rsidRPr="00331ED1">
        <w:rPr>
          <w:b/>
          <w:i/>
          <w:color w:val="000000"/>
          <w:szCs w:val="24"/>
          <w:lang w:eastAsia="fr-FR" w:bidi="fr-FR"/>
        </w:rPr>
        <w:t>, y compris les maladies négligées,</w:t>
      </w:r>
      <w:r w:rsidRPr="00331ED1">
        <w:rPr>
          <w:szCs w:val="24"/>
          <w:lang w:eastAsia="fr-FR" w:bidi="fr-FR"/>
        </w:rPr>
        <w:t xml:space="preserve"> au moyen de partenariats entre les pays européens et les pays en développement, en particulier ceux de l'Afrique subsaharienne:</w:t>
      </w:r>
    </w:p>
    <w:p w:rsidR="002022AB" w:rsidRPr="00331ED1" w:rsidRDefault="002022AB" w:rsidP="00075179">
      <w:pPr>
        <w:spacing w:before="120" w:after="120" w:line="360" w:lineRule="auto"/>
        <w:ind w:left="1418"/>
        <w:rPr>
          <w:szCs w:val="24"/>
          <w:lang w:eastAsia="fr-FR" w:bidi="fr-FR"/>
        </w:rPr>
      </w:pPr>
      <w:r w:rsidRPr="00331ED1">
        <w:rPr>
          <w:b/>
          <w:i/>
          <w:color w:val="000000"/>
          <w:szCs w:val="24"/>
          <w:lang w:eastAsia="fr-FR" w:bidi="fr-FR"/>
        </w:rPr>
        <w:t>Indicateur</w:t>
      </w:r>
      <w:r w:rsidRPr="00331ED1">
        <w:rPr>
          <w:szCs w:val="24"/>
          <w:lang w:eastAsia="fr-FR" w:bidi="fr-FR"/>
        </w:rPr>
        <w:t xml:space="preserve">: porter le nombre des essais cliniques bénéficiant d'un tel soutien à 150 au moins, contre 88 dans le cadre de l'EDCTP-I, </w:t>
      </w:r>
      <w:r w:rsidRPr="00331ED1">
        <w:rPr>
          <w:b/>
          <w:i/>
          <w:color w:val="000000"/>
          <w:szCs w:val="24"/>
          <w:lang w:eastAsia="fr-FR" w:bidi="fr-FR"/>
        </w:rPr>
        <w:t>qui permettent la mise au point de nouveaux produits, processus, méthodologies, diagnostics, traitements ou systèmes de prévention.</w:t>
      </w:r>
    </w:p>
    <w:p w:rsidR="002022AB" w:rsidRPr="00331ED1" w:rsidRDefault="002022AB" w:rsidP="00075179">
      <w:pPr>
        <w:spacing w:before="120" w:after="120" w:line="360" w:lineRule="auto"/>
        <w:ind w:left="1418"/>
        <w:rPr>
          <w:w w:val="0"/>
          <w:szCs w:val="24"/>
          <w:lang w:eastAsia="fr-FR" w:bidi="fr-FR"/>
        </w:rPr>
      </w:pPr>
      <w:r w:rsidRPr="00331ED1">
        <w:rPr>
          <w:b/>
          <w:i/>
          <w:color w:val="000000"/>
          <w:szCs w:val="24"/>
          <w:lang w:eastAsia="fr-FR" w:bidi="fr-FR"/>
        </w:rPr>
        <w:t>Indicateur</w:t>
      </w:r>
      <w:r w:rsidRPr="00331ED1">
        <w:rPr>
          <w:szCs w:val="24"/>
          <w:lang w:eastAsia="fr-FR" w:bidi="fr-FR"/>
        </w:rPr>
        <w:t xml:space="preserve">: maintenir ou augmenter la proportion d'essais cliniques financés par l'EDCTP-II-IS dans le cadre desquels l'Afrique joue un rôle prépondérant </w:t>
      </w:r>
      <w:r w:rsidRPr="00331ED1">
        <w:rPr>
          <w:color w:val="000000"/>
          <w:szCs w:val="24"/>
          <w:lang w:eastAsia="fr-FR" w:bidi="fr-FR"/>
        </w:rPr>
        <w:t>▌</w:t>
      </w:r>
      <w:r w:rsidRPr="00331ED1">
        <w:rPr>
          <w:szCs w:val="24"/>
          <w:lang w:eastAsia="fr-FR" w:bidi="fr-FR"/>
        </w:rPr>
        <w:t>.</w:t>
      </w:r>
    </w:p>
    <w:p w:rsidR="002022AB" w:rsidRPr="00331ED1" w:rsidRDefault="002022AB" w:rsidP="00075179">
      <w:pPr>
        <w:spacing w:before="120" w:after="120" w:line="360" w:lineRule="auto"/>
        <w:ind w:left="1418"/>
        <w:rPr>
          <w:w w:val="0"/>
          <w:szCs w:val="24"/>
          <w:lang w:eastAsia="fr-FR" w:bidi="fr-FR"/>
        </w:rPr>
      </w:pPr>
      <w:r w:rsidRPr="00331ED1">
        <w:rPr>
          <w:b/>
          <w:i/>
          <w:color w:val="000000"/>
          <w:szCs w:val="24"/>
          <w:lang w:eastAsia="fr-FR" w:bidi="fr-FR"/>
        </w:rPr>
        <w:t>Indicateur: s'efforcer de tripler, par rapport à l'EDCTP-I,</w:t>
      </w:r>
      <w:r w:rsidRPr="00331ED1">
        <w:rPr>
          <w:szCs w:val="24"/>
          <w:lang w:eastAsia="fr-FR" w:bidi="fr-FR"/>
        </w:rPr>
        <w:t xml:space="preserve"> le nombre d'articles scientifiques évalués par les pairs publiés.</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br w:type="page"/>
        <w:t>b)</w:t>
      </w:r>
      <w:r w:rsidRPr="00331ED1">
        <w:rPr>
          <w:szCs w:val="24"/>
          <w:lang w:eastAsia="fr-FR" w:bidi="fr-FR"/>
        </w:rPr>
        <w:tab/>
        <w:t>Soutenir les activités de renforcement des capacités en matière de recherche en Afrique subsaharienne en vue de permettre la réalisation d'essais cliniques et d'enrayer la fuite des cerveaux:</w:t>
      </w:r>
    </w:p>
    <w:p w:rsidR="002022AB" w:rsidRPr="00331ED1" w:rsidRDefault="002022AB" w:rsidP="00075179">
      <w:pPr>
        <w:spacing w:before="120" w:after="120" w:line="360" w:lineRule="auto"/>
        <w:ind w:left="1418"/>
        <w:rPr>
          <w:w w:val="0"/>
          <w:szCs w:val="24"/>
          <w:lang w:eastAsia="fr-FR" w:bidi="fr-FR"/>
        </w:rPr>
      </w:pPr>
      <w:r w:rsidRPr="00331ED1">
        <w:rPr>
          <w:b/>
          <w:i/>
          <w:color w:val="000000"/>
          <w:szCs w:val="24"/>
          <w:lang w:eastAsia="fr-FR" w:bidi="fr-FR"/>
        </w:rPr>
        <w:t>Indicateur:</w:t>
      </w:r>
      <w:r w:rsidRPr="00331ED1">
        <w:rPr>
          <w:szCs w:val="24"/>
          <w:lang w:eastAsia="fr-FR" w:bidi="fr-FR"/>
        </w:rPr>
        <w:t xml:space="preserve"> </w:t>
      </w:r>
      <w:r w:rsidRPr="00331ED1">
        <w:rPr>
          <w:b/>
          <w:i/>
          <w:color w:val="000000"/>
          <w:szCs w:val="24"/>
          <w:lang w:eastAsia="fr-FR" w:bidi="fr-FR"/>
        </w:rPr>
        <w:t>s'efforcer</w:t>
      </w:r>
      <w:r w:rsidRPr="00331ED1">
        <w:rPr>
          <w:szCs w:val="24"/>
          <w:lang w:eastAsia="fr-FR" w:bidi="fr-FR"/>
        </w:rPr>
        <w:t xml:space="preserve"> de maintenir ou d'augmenter le nombre de pays d'Afrique subsaharienne </w:t>
      </w:r>
      <w:r w:rsidRPr="00331ED1">
        <w:rPr>
          <w:b/>
          <w:i/>
          <w:color w:val="000000"/>
          <w:szCs w:val="24"/>
          <w:lang w:eastAsia="fr-FR" w:bidi="fr-FR"/>
        </w:rPr>
        <w:t>participant</w:t>
      </w:r>
      <w:r w:rsidRPr="00331ED1">
        <w:rPr>
          <w:szCs w:val="24"/>
          <w:lang w:eastAsia="fr-FR" w:bidi="fr-FR"/>
        </w:rPr>
        <w:t xml:space="preserve"> au programme EDCTP-II.</w:t>
      </w:r>
    </w:p>
    <w:p w:rsidR="002022AB" w:rsidRPr="00331ED1" w:rsidRDefault="002022AB" w:rsidP="00075179">
      <w:pPr>
        <w:spacing w:before="120" w:after="120" w:line="360" w:lineRule="auto"/>
        <w:ind w:left="1418"/>
        <w:rPr>
          <w:w w:val="0"/>
          <w:szCs w:val="24"/>
          <w:lang w:eastAsia="fr-FR" w:bidi="fr-FR"/>
        </w:rPr>
      </w:pPr>
      <w:r w:rsidRPr="00331ED1">
        <w:rPr>
          <w:b/>
          <w:i/>
          <w:color w:val="000000"/>
          <w:szCs w:val="24"/>
          <w:lang w:eastAsia="fr-FR" w:bidi="fr-FR"/>
        </w:rPr>
        <w:t>Indicateur:</w:t>
      </w:r>
      <w:r w:rsidRPr="00331ED1">
        <w:rPr>
          <w:szCs w:val="24"/>
          <w:lang w:eastAsia="fr-FR" w:bidi="fr-FR"/>
        </w:rPr>
        <w:t xml:space="preserve"> augmenter le nombre de bourses octroyées à des chercheurs et des étudiants en master et doctorat scientifiques de pays d'Afrique subsaharienne </w:t>
      </w:r>
      <w:r w:rsidRPr="00331ED1">
        <w:rPr>
          <w:b/>
          <w:i/>
          <w:color w:val="000000"/>
          <w:szCs w:val="24"/>
          <w:lang w:eastAsia="fr-FR" w:bidi="fr-FR"/>
        </w:rPr>
        <w:t>par rapport</w:t>
      </w:r>
      <w:r w:rsidRPr="00331ED1">
        <w:rPr>
          <w:szCs w:val="24"/>
          <w:lang w:eastAsia="fr-FR" w:bidi="fr-FR"/>
        </w:rPr>
        <w:t xml:space="preserve"> </w:t>
      </w:r>
      <w:r w:rsidRPr="00331ED1">
        <w:rPr>
          <w:b/>
          <w:i/>
          <w:color w:val="000000"/>
          <w:szCs w:val="24"/>
          <w:lang w:eastAsia="fr-FR" w:bidi="fr-FR"/>
        </w:rPr>
        <w:t>au nombre</w:t>
      </w:r>
      <w:r w:rsidRPr="00331ED1">
        <w:rPr>
          <w:szCs w:val="24"/>
          <w:lang w:eastAsia="fr-FR" w:bidi="fr-FR"/>
        </w:rPr>
        <w:t xml:space="preserve"> </w:t>
      </w:r>
      <w:r w:rsidRPr="00331ED1">
        <w:rPr>
          <w:b/>
          <w:i/>
          <w:color w:val="000000"/>
          <w:szCs w:val="24"/>
          <w:lang w:eastAsia="fr-FR" w:bidi="fr-FR"/>
        </w:rPr>
        <w:t>atteint</w:t>
      </w:r>
      <w:r w:rsidRPr="00331ED1">
        <w:rPr>
          <w:szCs w:val="24"/>
          <w:lang w:eastAsia="fr-FR" w:bidi="fr-FR"/>
        </w:rPr>
        <w:t xml:space="preserve"> de 400 dans le cadre de l'EDCTP-I, </w:t>
      </w:r>
      <w:r w:rsidRPr="00331ED1">
        <w:rPr>
          <w:b/>
          <w:i/>
          <w:color w:val="000000"/>
          <w:szCs w:val="24"/>
          <w:lang w:eastAsia="fr-FR" w:bidi="fr-FR"/>
        </w:rPr>
        <w:t>en encourageant et en aidant résolument</w:t>
      </w:r>
      <w:r w:rsidRPr="00331ED1">
        <w:rPr>
          <w:szCs w:val="24"/>
          <w:lang w:eastAsia="fr-FR" w:bidi="fr-FR"/>
        </w:rPr>
        <w:t xml:space="preserve"> lesdits chercheurs et étudiants à poursuivre leur carrière dans la recherche en Afrique subsaharienne </w:t>
      </w:r>
      <w:r w:rsidRPr="00331ED1">
        <w:rPr>
          <w:b/>
          <w:i/>
          <w:color w:val="000000"/>
          <w:szCs w:val="24"/>
          <w:lang w:eastAsia="fr-FR" w:bidi="fr-FR"/>
        </w:rPr>
        <w:t>après</w:t>
      </w:r>
      <w:r w:rsidRPr="00331ED1">
        <w:rPr>
          <w:szCs w:val="24"/>
          <w:lang w:eastAsia="fr-FR" w:bidi="fr-FR"/>
        </w:rPr>
        <w:t xml:space="preserve"> leur bourse.</w:t>
      </w:r>
    </w:p>
    <w:p w:rsidR="002022AB" w:rsidRPr="00331ED1" w:rsidRDefault="002022AB" w:rsidP="00075179">
      <w:pPr>
        <w:spacing w:before="120" w:after="120" w:line="360" w:lineRule="auto"/>
        <w:ind w:left="1418"/>
        <w:rPr>
          <w:w w:val="0"/>
          <w:szCs w:val="24"/>
          <w:lang w:eastAsia="fr-FR" w:bidi="fr-FR"/>
        </w:rPr>
      </w:pPr>
      <w:r w:rsidRPr="00331ED1">
        <w:rPr>
          <w:b/>
          <w:i/>
          <w:color w:val="000000"/>
          <w:szCs w:val="24"/>
          <w:lang w:eastAsia="fr-FR" w:bidi="fr-FR"/>
        </w:rPr>
        <w:t>Indicateur:</w:t>
      </w:r>
      <w:r w:rsidRPr="00331ED1">
        <w:rPr>
          <w:szCs w:val="24"/>
          <w:lang w:eastAsia="fr-FR" w:bidi="fr-FR"/>
        </w:rPr>
        <w:t xml:space="preserve"> accroître le nombre des activités de renforcement des capacités en matière de réalisation d'essais cliniques en Afrique subsaharienne </w:t>
      </w:r>
      <w:r w:rsidRPr="00331ED1">
        <w:rPr>
          <w:b/>
          <w:i/>
          <w:color w:val="000000"/>
          <w:szCs w:val="24"/>
          <w:lang w:eastAsia="fr-FR" w:bidi="fr-FR"/>
        </w:rPr>
        <w:t>par rapport au nombre atteint de 74 dans le cadre de l'EDCTP-I</w:t>
      </w:r>
      <w:r w:rsidRPr="00331ED1">
        <w:rPr>
          <w:szCs w:val="24"/>
          <w:lang w:eastAsia="fr-FR" w:bidi="fr-FR"/>
        </w:rPr>
        <w:t>.</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c)</w:t>
      </w:r>
      <w:r w:rsidRPr="00331ED1">
        <w:rPr>
          <w:szCs w:val="24"/>
          <w:lang w:eastAsia="fr-FR" w:bidi="fr-FR"/>
        </w:rPr>
        <w:tab/>
        <w:t xml:space="preserve">Développer un calendrier de recherche </w:t>
      </w:r>
      <w:r w:rsidRPr="00331ED1">
        <w:rPr>
          <w:color w:val="000000"/>
          <w:szCs w:val="24"/>
          <w:lang w:eastAsia="fr-FR" w:bidi="fr-FR"/>
        </w:rPr>
        <w:t>▌</w:t>
      </w:r>
      <w:r w:rsidRPr="00331ED1">
        <w:rPr>
          <w:b/>
          <w:i/>
          <w:color w:val="000000"/>
          <w:szCs w:val="24"/>
          <w:lang w:eastAsia="fr-FR" w:bidi="fr-FR"/>
        </w:rPr>
        <w:t>pour le programme EDCTP-II fondé sur des critères communs</w:t>
      </w:r>
      <w:r w:rsidRPr="00331ED1">
        <w:rPr>
          <w:szCs w:val="24"/>
          <w:lang w:eastAsia="fr-FR" w:bidi="fr-FR"/>
        </w:rPr>
        <w:t xml:space="preserve"> pour la définition des priorités et une évaluation en commun, </w:t>
      </w:r>
      <w:r w:rsidRPr="00331ED1">
        <w:rPr>
          <w:b/>
          <w:i/>
          <w:color w:val="000000"/>
          <w:sz w:val="22"/>
          <w:szCs w:val="24"/>
          <w:lang w:eastAsia="fr-FR" w:bidi="fr-FR"/>
        </w:rPr>
        <w:t>tout en reconnaissant que les contributions des programmes nationaux et de l'EDCTP peuvent différer</w:t>
      </w:r>
      <w:r w:rsidRPr="00331ED1">
        <w:rPr>
          <w:szCs w:val="24"/>
          <w:lang w:eastAsia="fr-FR" w:bidi="fr-FR"/>
        </w:rPr>
        <w:t>.</w:t>
      </w:r>
    </w:p>
    <w:p w:rsidR="002022AB" w:rsidRPr="00331ED1" w:rsidRDefault="002022AB" w:rsidP="00075179">
      <w:pPr>
        <w:spacing w:before="120" w:after="120" w:line="360" w:lineRule="auto"/>
        <w:ind w:left="1418"/>
        <w:rPr>
          <w:w w:val="0"/>
          <w:szCs w:val="24"/>
          <w:lang w:eastAsia="fr-FR" w:bidi="fr-FR"/>
        </w:rPr>
      </w:pPr>
      <w:r w:rsidRPr="00331ED1">
        <w:rPr>
          <w:szCs w:val="24"/>
          <w:lang w:eastAsia="fr-FR" w:bidi="fr-FR"/>
        </w:rPr>
        <w:t>Objectif: au moins 50 % des investissements publics des États participants sont intégrés, mis en cohérence ou coordonnés par l'intermédiaire du programme EDCTP-II.</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br w:type="page"/>
        <w:t>d)</w:t>
      </w:r>
      <w:r w:rsidRPr="00331ED1">
        <w:rPr>
          <w:szCs w:val="24"/>
          <w:lang w:eastAsia="fr-FR" w:bidi="fr-FR"/>
        </w:rPr>
        <w:tab/>
        <w:t>Garantir l'efficacité de la mise en œuvre du programme EDCTP-II:</w:t>
      </w:r>
    </w:p>
    <w:p w:rsidR="002022AB" w:rsidRPr="00331ED1" w:rsidRDefault="002022AB" w:rsidP="00075179">
      <w:pPr>
        <w:spacing w:before="120" w:after="120" w:line="360" w:lineRule="auto"/>
        <w:ind w:left="1418"/>
        <w:rPr>
          <w:w w:val="0"/>
          <w:szCs w:val="24"/>
          <w:lang w:eastAsia="fr-FR" w:bidi="fr-FR"/>
        </w:rPr>
      </w:pPr>
      <w:r w:rsidRPr="00331ED1">
        <w:rPr>
          <w:szCs w:val="24"/>
          <w:lang w:eastAsia="fr-FR" w:bidi="fr-FR"/>
        </w:rPr>
        <w:t>Objectif: faire en sorte que les coûts administratifs soient inférieurs à 5 % du budget de l'EDCTP-II-IS.</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e)</w:t>
      </w:r>
      <w:r w:rsidRPr="00331ED1">
        <w:rPr>
          <w:szCs w:val="24"/>
          <w:lang w:eastAsia="fr-FR" w:bidi="fr-FR"/>
        </w:rPr>
        <w:tab/>
        <w:t>Mettre sur pied une coopération et lancer des actions conjointes avec d'autres bailleurs de fonds publics et privés.</w:t>
      </w:r>
    </w:p>
    <w:p w:rsidR="002022AB" w:rsidRPr="00331ED1" w:rsidRDefault="002022AB" w:rsidP="00075179">
      <w:pPr>
        <w:spacing w:before="120" w:after="120" w:line="360" w:lineRule="auto"/>
        <w:ind w:left="1418"/>
        <w:rPr>
          <w:w w:val="0"/>
          <w:szCs w:val="24"/>
          <w:lang w:eastAsia="fr-FR" w:bidi="fr-FR"/>
        </w:rPr>
      </w:pPr>
      <w:r w:rsidRPr="00331ED1">
        <w:rPr>
          <w:szCs w:val="24"/>
          <w:lang w:eastAsia="fr-FR" w:bidi="fr-FR"/>
        </w:rPr>
        <w:t>Objectif: porter les contributions reçues des pays en développement à au moins 30 000 000 EUR, contre 14 000 000 EUR</w:t>
      </w:r>
      <w:r w:rsidRPr="00331ED1" w:rsidDel="00971AA6">
        <w:rPr>
          <w:szCs w:val="24"/>
          <w:lang w:eastAsia="fr-FR" w:bidi="fr-FR"/>
        </w:rPr>
        <w:t xml:space="preserve"> </w:t>
      </w:r>
      <w:r w:rsidRPr="00331ED1">
        <w:rPr>
          <w:szCs w:val="24"/>
          <w:lang w:eastAsia="fr-FR" w:bidi="fr-FR"/>
        </w:rPr>
        <w:t xml:space="preserve"> dans le cadre de l'EDCTP-I.</w:t>
      </w:r>
    </w:p>
    <w:p w:rsidR="002022AB" w:rsidRPr="00331ED1" w:rsidRDefault="002022AB" w:rsidP="00075179">
      <w:pPr>
        <w:spacing w:before="120" w:after="120" w:line="360" w:lineRule="auto"/>
        <w:ind w:left="1418"/>
        <w:rPr>
          <w:w w:val="0"/>
          <w:szCs w:val="24"/>
          <w:lang w:eastAsia="fr-FR" w:bidi="fr-FR"/>
        </w:rPr>
      </w:pPr>
      <w:r w:rsidRPr="00331ED1">
        <w:rPr>
          <w:szCs w:val="24"/>
          <w:lang w:eastAsia="fr-FR" w:bidi="fr-FR"/>
        </w:rPr>
        <w:t>Objectif: obtenir des contributions supplémentaires, publiques ou privées, à hauteur d'au moins 500 000 000 EUR, contre 71 000 000 EUR</w:t>
      </w:r>
      <w:r w:rsidRPr="00331ED1" w:rsidDel="00971AA6">
        <w:rPr>
          <w:szCs w:val="24"/>
          <w:lang w:eastAsia="fr-FR" w:bidi="fr-FR"/>
        </w:rPr>
        <w:t xml:space="preserve"> </w:t>
      </w:r>
      <w:r w:rsidRPr="00331ED1">
        <w:rPr>
          <w:szCs w:val="24"/>
          <w:lang w:eastAsia="fr-FR" w:bidi="fr-FR"/>
        </w:rPr>
        <w:t>dans le cadre de l'EDCTP</w:t>
      </w:r>
      <w:r w:rsidRPr="00331ED1">
        <w:rPr>
          <w:szCs w:val="24"/>
          <w:lang w:eastAsia="fr-FR" w:bidi="fr-FR"/>
        </w:rPr>
        <w:noBreakHyphen/>
        <w:t>I.</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f)</w:t>
      </w:r>
      <w:r w:rsidRPr="00331ED1">
        <w:rPr>
          <w:szCs w:val="24"/>
          <w:lang w:eastAsia="fr-FR" w:bidi="fr-FR"/>
        </w:rPr>
        <w:tab/>
        <w:t xml:space="preserve">Mettre sur pied une coopération et lancer des actions conjointes avec l'Union, des initiatives nationales et internationales d'aide au développement, </w:t>
      </w:r>
      <w:r w:rsidRPr="00331ED1">
        <w:rPr>
          <w:b/>
          <w:i/>
          <w:color w:val="000000"/>
          <w:szCs w:val="24"/>
          <w:lang w:eastAsia="fr-FR" w:bidi="fr-FR"/>
        </w:rPr>
        <w:t>y compris, le cas échéant, des initiatives pertinentes de l'OMS,</w:t>
      </w:r>
      <w:r w:rsidRPr="00331ED1">
        <w:rPr>
          <w:szCs w:val="24"/>
          <w:lang w:eastAsia="fr-FR" w:bidi="fr-FR"/>
        </w:rPr>
        <w:t xml:space="preserve"> en vue de garantir la complémentarité et d'accroître l'impact des résultats des activités financées au titre du programme EDCTP.</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 xml:space="preserve">ANNEXE II </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ACTIVITÉS ET MISE EN ŒUVRE DU PROGRAMME EDCTP-II</w:t>
      </w:r>
    </w:p>
    <w:p w:rsidR="002022AB" w:rsidRPr="00331ED1" w:rsidRDefault="002022AB" w:rsidP="00075179">
      <w:pPr>
        <w:spacing w:before="120" w:after="120" w:line="360" w:lineRule="auto"/>
        <w:ind w:left="851" w:hanging="851"/>
        <w:rPr>
          <w:w w:val="0"/>
          <w:szCs w:val="24"/>
          <w:lang w:eastAsia="fr-FR" w:bidi="fr-FR"/>
        </w:rPr>
      </w:pPr>
      <w:r w:rsidRPr="00331ED1">
        <w:rPr>
          <w:szCs w:val="24"/>
          <w:lang w:eastAsia="fr-FR" w:bidi="fr-FR"/>
        </w:rPr>
        <w:t>1)</w:t>
      </w:r>
      <w:r w:rsidRPr="00331ED1">
        <w:rPr>
          <w:szCs w:val="24"/>
          <w:lang w:eastAsia="fr-FR" w:bidi="fr-FR"/>
        </w:rPr>
        <w:tab/>
        <w:t>Activités</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 programme EDCTP-II comprend les activités suivantes:</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a)</w:t>
      </w:r>
      <w:r w:rsidRPr="00331ED1">
        <w:rPr>
          <w:szCs w:val="24"/>
          <w:lang w:eastAsia="fr-FR" w:bidi="fr-FR"/>
        </w:rPr>
        <w:tab/>
        <w:t xml:space="preserve">favoriser la mise en réseau, la coordination, la mise en cohérence, la </w:t>
      </w:r>
      <w:r w:rsidRPr="00331ED1">
        <w:rPr>
          <w:b/>
          <w:i/>
          <w:color w:val="000000"/>
          <w:szCs w:val="24"/>
          <w:lang w:eastAsia="fr-FR" w:bidi="fr-FR"/>
        </w:rPr>
        <w:t>collaboration</w:t>
      </w:r>
      <w:r w:rsidRPr="00331ED1">
        <w:rPr>
          <w:szCs w:val="24"/>
          <w:lang w:eastAsia="fr-FR" w:bidi="fr-FR"/>
        </w:rPr>
        <w:t xml:space="preserve"> et l'intégration des programmes et activités nationaux de recherche sur les </w:t>
      </w:r>
      <w:r w:rsidRPr="00331ED1">
        <w:rPr>
          <w:b/>
          <w:i/>
          <w:w w:val="0"/>
          <w:szCs w:val="24"/>
          <w:lang w:eastAsia="fr-FR" w:bidi="fr-FR"/>
        </w:rPr>
        <w:t>maladies liées à la pauvreté, y compris les maladies négligées,</w:t>
      </w:r>
      <w:r w:rsidRPr="00331ED1">
        <w:rPr>
          <w:szCs w:val="24"/>
          <w:lang w:eastAsia="fr-FR" w:bidi="fr-FR"/>
        </w:rPr>
        <w:t xml:space="preserve"> aux niveaux scientifique, administratif et financier;</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b)</w:t>
      </w:r>
      <w:r w:rsidRPr="00331ED1">
        <w:rPr>
          <w:szCs w:val="24"/>
          <w:lang w:eastAsia="fr-FR" w:bidi="fr-FR"/>
        </w:rPr>
        <w:tab/>
        <w:t xml:space="preserve">soutenir la recherche en matière d'essais cliniques et des activités connexes sur les maladies liées à la pauvreté, en particulier le VIH/sida, le paludisme, la tuberculose et </w:t>
      </w:r>
      <w:r w:rsidRPr="00331ED1">
        <w:rPr>
          <w:b/>
          <w:i/>
          <w:color w:val="000000"/>
          <w:szCs w:val="24"/>
          <w:lang w:eastAsia="fr-FR" w:bidi="fr-FR"/>
        </w:rPr>
        <w:t>autres maladies liées à la pauvreté, y compris les maladies négligées</w:t>
      </w:r>
      <w:r w:rsidRPr="00331ED1">
        <w:rPr>
          <w:szCs w:val="24"/>
          <w:lang w:eastAsia="fr-FR" w:bidi="fr-FR"/>
        </w:rPr>
        <w:t>;</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c)</w:t>
      </w:r>
      <w:r w:rsidRPr="00331ED1">
        <w:rPr>
          <w:szCs w:val="24"/>
          <w:lang w:eastAsia="fr-FR" w:bidi="fr-FR"/>
        </w:rPr>
        <w:tab/>
        <w:t>favoriser le développement des capacités en matière d'essais cliniques et les recherches y afférentes dans les pays en développement</w:t>
      </w:r>
      <w:r w:rsidRPr="00331ED1">
        <w:rPr>
          <w:b/>
          <w:i/>
          <w:color w:val="000000"/>
          <w:szCs w:val="24"/>
          <w:lang w:eastAsia="fr-FR" w:bidi="fr-FR"/>
        </w:rPr>
        <w:t>, en particulier en Afrique subsaharienne,</w:t>
      </w:r>
      <w:r w:rsidRPr="00331ED1">
        <w:rPr>
          <w:szCs w:val="24"/>
          <w:lang w:eastAsia="fr-FR" w:bidi="fr-FR"/>
        </w:rPr>
        <w:t xml:space="preserve"> grâce à des subventions couvrant les aspects suivants: évolution de la carrière des chercheurs débutants et des chercheurs confirmés, promotion de la mobilité, bourses d'échanges de personnel, réseaux de formation à la recherche, renforcement des organismes d'éthique et de réglementation, tutorats et partenariats au niveau individuel, institutionnel </w:t>
      </w:r>
      <w:r w:rsidRPr="00331ED1">
        <w:rPr>
          <w:b/>
          <w:i/>
          <w:color w:val="000000"/>
          <w:szCs w:val="24"/>
          <w:lang w:eastAsia="fr-FR" w:bidi="fr-FR"/>
        </w:rPr>
        <w:t>ou régional</w:t>
      </w:r>
      <w:r w:rsidRPr="00331ED1">
        <w:rPr>
          <w:szCs w:val="24"/>
          <w:lang w:eastAsia="fr-FR" w:bidi="fr-FR"/>
        </w:rPr>
        <w:t>;</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br w:type="page"/>
        <w:t>d)</w:t>
      </w:r>
      <w:r w:rsidRPr="00331ED1">
        <w:rPr>
          <w:szCs w:val="24"/>
          <w:lang w:eastAsia="fr-FR" w:bidi="fr-FR"/>
        </w:rPr>
        <w:tab/>
        <w:t>mettre sur pied une coopération et lancer des actions conjointes avec d'autres bailleurs de fonds publics et privés;</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e)</w:t>
      </w:r>
      <w:r w:rsidRPr="00331ED1">
        <w:rPr>
          <w:szCs w:val="24"/>
          <w:lang w:eastAsia="fr-FR" w:bidi="fr-FR"/>
        </w:rPr>
        <w:tab/>
        <w:t xml:space="preserve">assurer la  sensibilisation au programme EDCTP-II et à ses activités, ainsi que l'acceptation et la reconnaissance de ceux-ci au moyen d'actions de promotion et de communication, </w:t>
      </w:r>
      <w:r w:rsidRPr="00331ED1">
        <w:rPr>
          <w:b/>
          <w:i/>
          <w:color w:val="000000"/>
          <w:szCs w:val="24"/>
          <w:lang w:eastAsia="fr-FR" w:bidi="fr-FR"/>
        </w:rPr>
        <w:t>non seulement au niveau de l'Union et des pays en développement, mais aussi au niveau mondial</w:t>
      </w:r>
      <w:r w:rsidRPr="00331ED1">
        <w:rPr>
          <w:szCs w:val="24"/>
          <w:lang w:eastAsia="fr-FR" w:bidi="fr-FR"/>
        </w:rPr>
        <w:t>.</w:t>
      </w:r>
    </w:p>
    <w:p w:rsidR="002022AB" w:rsidRPr="00331ED1" w:rsidRDefault="002022AB" w:rsidP="00075179">
      <w:pPr>
        <w:spacing w:before="120" w:after="120" w:line="360" w:lineRule="auto"/>
        <w:ind w:left="851" w:hanging="851"/>
        <w:rPr>
          <w:w w:val="0"/>
          <w:szCs w:val="24"/>
          <w:lang w:eastAsia="fr-FR" w:bidi="fr-FR"/>
        </w:rPr>
      </w:pPr>
      <w:r w:rsidRPr="00331ED1">
        <w:rPr>
          <w:szCs w:val="24"/>
          <w:lang w:eastAsia="fr-FR" w:bidi="fr-FR"/>
        </w:rPr>
        <w:t>2)</w:t>
      </w:r>
      <w:r w:rsidRPr="00331ED1">
        <w:rPr>
          <w:szCs w:val="24"/>
          <w:lang w:eastAsia="fr-FR" w:bidi="fr-FR"/>
        </w:rPr>
        <w:tab/>
        <w:t>Définition et mise en œuvre du programme</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 xml:space="preserve">Le programme EDCTP-II est mis en œuvre par l'EDCTP-II-IS sur la base d'un plan de travail annuel et d'un plan de travail stratégique pluriannuel élaborés par l'EDCTP-II-IS, </w:t>
      </w:r>
      <w:r w:rsidRPr="00331ED1">
        <w:rPr>
          <w:b/>
          <w:i/>
          <w:color w:val="000000"/>
          <w:szCs w:val="24"/>
          <w:lang w:eastAsia="fr-FR" w:bidi="fr-FR"/>
        </w:rPr>
        <w:t>en concertation avec les parties prenantes intéressées,</w:t>
      </w:r>
      <w:r w:rsidRPr="00331ED1">
        <w:rPr>
          <w:szCs w:val="24"/>
          <w:lang w:eastAsia="fr-FR" w:bidi="fr-FR"/>
        </w:rPr>
        <w:t xml:space="preserve"> et adoptés par l'assemblée générale de l'EDCTP-II-IS après une évaluation internationale par les pairs et sous réserve de l'approbation préalable de la Commission.</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 plan de travail annuel identifie les sujets et activités à mettre en œuvre, y compris les appels à propositions à lancer par l'EDCTP-II-IS pour sélectionner et financer des actions indirectes, ainsi que les budgets et le financement du programme EDCTP-II nécessaires pour ces sujets et activités.</w:t>
      </w:r>
      <w:r w:rsidRPr="00331ED1">
        <w:rPr>
          <w:b/>
          <w:i/>
          <w:color w:val="000000"/>
          <w:sz w:val="22"/>
          <w:szCs w:val="24"/>
          <w:lang w:eastAsia="fr-FR" w:bidi="fr-FR"/>
        </w:rPr>
        <w:t xml:space="preserve"> </w:t>
      </w:r>
      <w:r w:rsidRPr="00331ED1">
        <w:rPr>
          <w:b/>
          <w:i/>
          <w:color w:val="000000"/>
          <w:szCs w:val="24"/>
          <w:lang w:eastAsia="fr-FR" w:bidi="fr-FR"/>
        </w:rPr>
        <w:t>Le cas échéant, il peut y avoir des échanges d'informations entre le programme EDCTP-II et d'autres initiatives publiques ou privées, y compris celles qui sont lancées au titre d'Horizon 2020.</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br w:type="page"/>
        <w:t>Le plan de travail annuel établit une distinction entre les activités financées ou cofinancées par l'Union et celles financées par les États participants ou au moyen d'autres recettes.</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 plan de travail stratégique pluriannuel fixe un calendrier commun de recherche stratégique qui est élaboré et actualisé sur une base annuelle.</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L'EDCTP-II-IS contrôle la mise en œuvre des activités figurant dans le plan de travail, y compris des actions indirectes sélectionnées par l'intermédiaire des appels à propositions qu'il gère. Il attribue et gère le financement de ces activités conformément à la présente décision et à la mise en œuvre effective des activités sélectionnées et identifiées dans les plans de travail précédents.</w:t>
      </w:r>
    </w:p>
    <w:p w:rsidR="002022AB" w:rsidRPr="00331ED1" w:rsidRDefault="002022AB" w:rsidP="00075179">
      <w:pPr>
        <w:spacing w:before="120" w:after="120" w:line="360" w:lineRule="auto"/>
        <w:ind w:left="851" w:hanging="851"/>
        <w:rPr>
          <w:w w:val="0"/>
          <w:szCs w:val="24"/>
          <w:lang w:eastAsia="fr-FR" w:bidi="fr-FR"/>
        </w:rPr>
      </w:pPr>
      <w:r w:rsidRPr="00331ED1">
        <w:rPr>
          <w:szCs w:val="24"/>
          <w:lang w:eastAsia="fr-FR" w:bidi="fr-FR"/>
        </w:rPr>
        <w:t>3)</w:t>
      </w:r>
      <w:r w:rsidRPr="00331ED1">
        <w:rPr>
          <w:szCs w:val="24"/>
          <w:lang w:eastAsia="fr-FR" w:bidi="fr-FR"/>
        </w:rPr>
        <w:tab/>
        <w:t>Résultats escomptés de la mise en œuvre du programme EDCTP-II</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L'EDCTP-II-IS fournit un rapport annuel, qui présente un aperçu détaillé de la mise en œuvre du programme EDCTP-II. Cet aperçu fournit des informations sur chaque activité sélectionnée conformément au plan de travail, y compris les actions indirectes sélectionnées par l'intermédiaire des appels à propositions gérés par l'EDCTP-II-IS. Ces informations comprennent une description de chaque activité, y compris des actions indirectes, de son budget, de la valeur du financement éventuel qui lui a été attribué, et de son état d'avancement.</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br w:type="page"/>
        <w:t xml:space="preserve">En ce qui concerne les appels gérés par l'EDCTP-II-IS, le rapport annuel fournit, en outre, des informations sur le nombre de projets présentés et sélectionnés en vue d'un financement, l'utilisation détaillée de la contribution financière de l'Union, la répartition des contributions nationales et autres, </w:t>
      </w:r>
      <w:r w:rsidRPr="00331ED1">
        <w:rPr>
          <w:b/>
          <w:i/>
          <w:color w:val="000000"/>
          <w:szCs w:val="24"/>
          <w:lang w:eastAsia="fr-FR" w:bidi="fr-FR"/>
        </w:rPr>
        <w:t>y compris des précisions sur le type de contributions en nature</w:t>
      </w:r>
      <w:r w:rsidRPr="00331ED1">
        <w:rPr>
          <w:szCs w:val="24"/>
          <w:lang w:eastAsia="fr-FR" w:bidi="fr-FR"/>
        </w:rPr>
        <w:t xml:space="preserve">, les types de participants, les statistiques par pays, les manifestations de courtage et les activités de diffusion. </w:t>
      </w:r>
      <w:r w:rsidRPr="00331ED1">
        <w:rPr>
          <w:b/>
          <w:i/>
          <w:color w:val="000000"/>
          <w:szCs w:val="24"/>
          <w:lang w:eastAsia="fr-FR" w:bidi="fr-FR"/>
        </w:rPr>
        <w:t>Le rapport annuel peut également comporter, le cas échéant, des informations relatives aux mesures prises pour faciliter l'accès aux produits issus du programme EDCTP-II.</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 rapport annuel contient également des informations sur les progrès accomplis dans la réalisation des objectifs du programme EDCTP-II énoncés à l'annexe I.</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En outre, l'EDCTP-II-IS transmet toute information ou rapport prévus par la présente décision et l'accord conclu avec l'Union.</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br w:type="page"/>
        <w:t>ANNEXE III</w:t>
      </w:r>
    </w:p>
    <w:p w:rsidR="002022AB" w:rsidRPr="00331ED1" w:rsidRDefault="002022AB" w:rsidP="00075179">
      <w:pPr>
        <w:spacing w:before="120" w:after="120" w:line="360" w:lineRule="auto"/>
        <w:jc w:val="center"/>
        <w:rPr>
          <w:szCs w:val="24"/>
          <w:lang w:eastAsia="fr-FR" w:bidi="fr-FR"/>
        </w:rPr>
      </w:pPr>
      <w:r w:rsidRPr="00331ED1">
        <w:rPr>
          <w:szCs w:val="24"/>
          <w:lang w:eastAsia="fr-FR" w:bidi="fr-FR"/>
        </w:rPr>
        <w:t>GOUVERNANCE DU PROGRAMME EDCTP-II</w:t>
      </w:r>
    </w:p>
    <w:p w:rsidR="002022AB" w:rsidRPr="00331ED1" w:rsidRDefault="002022AB" w:rsidP="00075179">
      <w:pPr>
        <w:spacing w:before="120" w:after="120" w:line="360" w:lineRule="auto"/>
        <w:rPr>
          <w:w w:val="0"/>
          <w:szCs w:val="24"/>
          <w:lang w:eastAsia="fr-FR" w:bidi="fr-FR"/>
        </w:rPr>
      </w:pPr>
      <w:r w:rsidRPr="00331ED1">
        <w:rPr>
          <w:szCs w:val="24"/>
          <w:lang w:eastAsia="fr-FR" w:bidi="fr-FR"/>
        </w:rPr>
        <w:t>La structure organisationnelle du programme EDCTP-II se présente comme suit:</w:t>
      </w:r>
    </w:p>
    <w:p w:rsidR="002022AB" w:rsidRPr="00331ED1" w:rsidRDefault="002022AB" w:rsidP="00075179">
      <w:pPr>
        <w:spacing w:before="120" w:after="120" w:line="360" w:lineRule="auto"/>
        <w:ind w:left="851" w:hanging="851"/>
        <w:rPr>
          <w:w w:val="0"/>
          <w:szCs w:val="24"/>
          <w:lang w:eastAsia="fr-FR" w:bidi="fr-FR"/>
        </w:rPr>
      </w:pPr>
      <w:r w:rsidRPr="00331ED1">
        <w:rPr>
          <w:szCs w:val="24"/>
          <w:lang w:eastAsia="fr-FR" w:bidi="fr-FR"/>
        </w:rPr>
        <w:t>1)</w:t>
      </w:r>
      <w:r w:rsidRPr="00331ED1">
        <w:rPr>
          <w:szCs w:val="24"/>
          <w:lang w:eastAsia="fr-FR" w:bidi="fr-FR"/>
        </w:rPr>
        <w:tab/>
        <w:t>L'EDCTP-II-IS est dirigée par une assemblée générale (AG), au sein de laquelle tous les États participants sont représentés.</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La responsabilité principale de l'AG est de veiller à ce que toutes les activités nécessaires soient entreprises pour atteindre les objectifs du programme EDCTP-II, et que ses ressources soient gérées correctement et avec efficacité. Elle adopte le plan de travail annuel.</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L'AG prend ses décisions par consensus. À défaut de consensus, l'AG prend ses décisions à la majorité d'au moins 75 % des voix.</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 xml:space="preserve">L'Union, représentée par la Commission, est invitée à toutes les réunions de l'AG en tant qu'observateur, et reçoit tous les documents nécessaires. Elle peut participer aux discussions. </w:t>
      </w:r>
    </w:p>
    <w:p w:rsidR="002022AB" w:rsidRPr="00331ED1" w:rsidRDefault="002022AB" w:rsidP="00075179">
      <w:pPr>
        <w:spacing w:before="120" w:after="120" w:line="360" w:lineRule="auto"/>
        <w:ind w:left="851" w:hanging="851"/>
        <w:rPr>
          <w:w w:val="0"/>
          <w:szCs w:val="24"/>
          <w:lang w:eastAsia="fr-FR" w:bidi="fr-FR"/>
        </w:rPr>
      </w:pPr>
      <w:r w:rsidRPr="00331ED1">
        <w:rPr>
          <w:szCs w:val="24"/>
          <w:lang w:eastAsia="fr-FR" w:bidi="fr-FR"/>
        </w:rPr>
        <w:br w:type="page"/>
        <w:t>2)</w:t>
      </w:r>
      <w:r w:rsidRPr="00331ED1">
        <w:rPr>
          <w:szCs w:val="24"/>
          <w:lang w:eastAsia="fr-FR" w:bidi="fr-FR"/>
        </w:rPr>
        <w:tab/>
        <w:t>L'AG nomme un conseil d'administration qui supervise le secrétariat de l'EDCTP-II</w:t>
      </w:r>
      <w:r w:rsidRPr="00331ED1">
        <w:rPr>
          <w:szCs w:val="24"/>
          <w:lang w:eastAsia="fr-FR" w:bidi="fr-FR"/>
        </w:rPr>
        <w:noBreakHyphen/>
        <w:t>IS (SEC), établi par l'AG en tant qu'organe exécutif du programme EDCTP-II.</w:t>
      </w:r>
      <w:r w:rsidRPr="00331ED1">
        <w:rPr>
          <w:b/>
          <w:i/>
          <w:color w:val="000000"/>
          <w:szCs w:val="24"/>
          <w:lang w:eastAsia="fr-FR" w:bidi="fr-FR"/>
        </w:rPr>
        <w:t xml:space="preserve"> Le conseil d'administration compte un nombre de membres à déterminer par l'AG, mais qui ne peut être inférieur à cinq.</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 xml:space="preserve">Le SEC assume </w:t>
      </w:r>
      <w:r w:rsidRPr="00331ED1">
        <w:rPr>
          <w:b/>
          <w:i/>
          <w:color w:val="000000"/>
          <w:szCs w:val="24"/>
          <w:lang w:eastAsia="fr-FR" w:bidi="fr-FR"/>
        </w:rPr>
        <w:t>au moins</w:t>
      </w:r>
      <w:r w:rsidRPr="00331ED1">
        <w:rPr>
          <w:szCs w:val="24"/>
          <w:lang w:eastAsia="fr-FR" w:bidi="fr-FR"/>
        </w:rPr>
        <w:t xml:space="preserve"> les tâches suivantes:</w:t>
      </w:r>
    </w:p>
    <w:p w:rsidR="002022AB" w:rsidRPr="00331ED1" w:rsidRDefault="002022AB" w:rsidP="00075179">
      <w:pPr>
        <w:spacing w:before="120" w:after="120" w:line="360" w:lineRule="auto"/>
        <w:ind w:left="1418" w:hanging="567"/>
        <w:rPr>
          <w:szCs w:val="24"/>
          <w:lang w:eastAsia="fr-FR" w:bidi="fr-FR"/>
        </w:rPr>
      </w:pPr>
      <w:r w:rsidRPr="00331ED1">
        <w:rPr>
          <w:color w:val="000000"/>
          <w:szCs w:val="24"/>
          <w:lang w:eastAsia="fr-FR" w:bidi="fr-FR"/>
        </w:rPr>
        <w:t>▌</w:t>
      </w:r>
    </w:p>
    <w:p w:rsidR="002022AB" w:rsidRPr="00331ED1" w:rsidRDefault="002022AB" w:rsidP="00075179">
      <w:pPr>
        <w:spacing w:before="120" w:after="120" w:line="360" w:lineRule="auto"/>
        <w:ind w:left="1418" w:hanging="567"/>
        <w:rPr>
          <w:w w:val="0"/>
          <w:szCs w:val="24"/>
          <w:lang w:eastAsia="fr-FR" w:bidi="fr-FR"/>
        </w:rPr>
      </w:pPr>
      <w:r w:rsidRPr="00331ED1">
        <w:rPr>
          <w:b/>
          <w:i/>
          <w:szCs w:val="24"/>
          <w:lang w:eastAsia="fr-FR" w:bidi="fr-FR"/>
        </w:rPr>
        <w:t>a)</w:t>
      </w:r>
      <w:r w:rsidRPr="00331ED1">
        <w:rPr>
          <w:szCs w:val="24"/>
          <w:lang w:eastAsia="fr-FR" w:bidi="fr-FR"/>
        </w:rPr>
        <w:tab/>
      </w:r>
      <w:r w:rsidRPr="00331ED1">
        <w:rPr>
          <w:b/>
          <w:i/>
          <w:color w:val="000000"/>
          <w:szCs w:val="24"/>
          <w:lang w:eastAsia="fr-FR" w:bidi="fr-FR"/>
        </w:rPr>
        <w:t>mettre en œuvre le plan de travail annuel;</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b)</w:t>
      </w:r>
      <w:r w:rsidRPr="00331ED1">
        <w:rPr>
          <w:szCs w:val="24"/>
          <w:lang w:eastAsia="fr-FR" w:bidi="fr-FR"/>
        </w:rPr>
        <w:tab/>
        <w:t>apporter un soutien à l'AG;</w:t>
      </w:r>
    </w:p>
    <w:p w:rsidR="002022AB" w:rsidRPr="00331ED1" w:rsidRDefault="002022AB" w:rsidP="00075179">
      <w:pPr>
        <w:spacing w:before="120" w:after="120" w:line="360" w:lineRule="auto"/>
        <w:ind w:left="1418" w:hanging="567"/>
        <w:rPr>
          <w:szCs w:val="24"/>
          <w:lang w:eastAsia="fr-FR" w:bidi="fr-FR"/>
        </w:rPr>
      </w:pPr>
      <w:r w:rsidRPr="00331ED1">
        <w:rPr>
          <w:szCs w:val="24"/>
          <w:lang w:eastAsia="fr-FR" w:bidi="fr-FR"/>
        </w:rPr>
        <w:t>▌</w:t>
      </w:r>
    </w:p>
    <w:p w:rsidR="002022AB" w:rsidRPr="00331ED1" w:rsidRDefault="002022AB" w:rsidP="00075179">
      <w:pPr>
        <w:spacing w:before="120" w:after="120" w:line="360" w:lineRule="auto"/>
        <w:ind w:left="1418" w:hanging="567"/>
        <w:rPr>
          <w:w w:val="0"/>
          <w:szCs w:val="24"/>
          <w:lang w:eastAsia="fr-FR" w:bidi="fr-FR"/>
        </w:rPr>
      </w:pPr>
      <w:r w:rsidRPr="00331ED1">
        <w:rPr>
          <w:b/>
          <w:i/>
          <w:color w:val="000000"/>
          <w:szCs w:val="24"/>
          <w:lang w:eastAsia="fr-FR" w:bidi="fr-FR"/>
        </w:rPr>
        <w:t>c)</w:t>
      </w:r>
      <w:r w:rsidRPr="00331ED1">
        <w:rPr>
          <w:szCs w:val="24"/>
          <w:lang w:eastAsia="fr-FR" w:bidi="fr-FR"/>
        </w:rPr>
        <w:tab/>
        <w:t>assurer le suivi et rendre compte de la mise en œuvre du programme EDCTP-II;</w:t>
      </w:r>
    </w:p>
    <w:p w:rsidR="002022AB" w:rsidRPr="00331ED1" w:rsidRDefault="002022AB" w:rsidP="00075179">
      <w:pPr>
        <w:spacing w:before="120" w:after="120" w:line="360" w:lineRule="auto"/>
        <w:ind w:left="1418" w:hanging="567"/>
        <w:rPr>
          <w:w w:val="0"/>
          <w:szCs w:val="24"/>
          <w:lang w:eastAsia="fr-FR" w:bidi="fr-FR"/>
        </w:rPr>
      </w:pPr>
      <w:r w:rsidRPr="00331ED1">
        <w:rPr>
          <w:b/>
          <w:i/>
          <w:color w:val="000000"/>
          <w:szCs w:val="24"/>
          <w:lang w:eastAsia="fr-FR" w:bidi="fr-FR"/>
        </w:rPr>
        <w:t>d)</w:t>
      </w:r>
      <w:r w:rsidRPr="00331ED1">
        <w:rPr>
          <w:szCs w:val="24"/>
          <w:lang w:eastAsia="fr-FR" w:bidi="fr-FR"/>
        </w:rPr>
        <w:tab/>
        <w:t>gérer les contributions financières des États participants, de l'Union et de toute tierce partie, et faire rapport sur leur utilisation à l'AG et à l'Union;</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br w:type="page"/>
      </w:r>
      <w:r w:rsidRPr="00331ED1">
        <w:rPr>
          <w:b/>
          <w:i/>
          <w:color w:val="000000"/>
          <w:szCs w:val="24"/>
          <w:lang w:eastAsia="fr-FR" w:bidi="fr-FR"/>
        </w:rPr>
        <w:t>e)</w:t>
      </w:r>
      <w:r w:rsidRPr="00331ED1">
        <w:rPr>
          <w:szCs w:val="24"/>
          <w:lang w:eastAsia="fr-FR" w:bidi="fr-FR"/>
        </w:rPr>
        <w:tab/>
        <w:t>accroître la visibilité du programme EDCTP-II au moyen d'actions de sensibilisation et de communication;</w:t>
      </w:r>
    </w:p>
    <w:p w:rsidR="002022AB" w:rsidRPr="00331ED1" w:rsidRDefault="002022AB" w:rsidP="00075179">
      <w:pPr>
        <w:spacing w:before="120" w:after="120" w:line="360" w:lineRule="auto"/>
        <w:ind w:left="1418" w:hanging="567"/>
        <w:rPr>
          <w:w w:val="0"/>
          <w:szCs w:val="24"/>
          <w:lang w:eastAsia="fr-FR" w:bidi="fr-FR"/>
        </w:rPr>
      </w:pPr>
      <w:r w:rsidRPr="00331ED1">
        <w:rPr>
          <w:b/>
          <w:i/>
          <w:color w:val="000000"/>
          <w:szCs w:val="24"/>
          <w:lang w:eastAsia="fr-FR" w:bidi="fr-FR"/>
        </w:rPr>
        <w:t>f)</w:t>
      </w:r>
      <w:r w:rsidRPr="00331ED1">
        <w:rPr>
          <w:szCs w:val="24"/>
          <w:lang w:eastAsia="fr-FR" w:bidi="fr-FR"/>
        </w:rPr>
        <w:tab/>
        <w:t>assurer la liaison avec la Commission conformément à l'accord de délégation visé à l'article 7.</w:t>
      </w:r>
    </w:p>
    <w:p w:rsidR="002022AB" w:rsidRPr="00331ED1" w:rsidRDefault="002022AB" w:rsidP="00075179">
      <w:pPr>
        <w:spacing w:before="120" w:after="120" w:line="360" w:lineRule="auto"/>
        <w:ind w:left="851" w:hanging="851"/>
        <w:rPr>
          <w:w w:val="0"/>
          <w:szCs w:val="24"/>
          <w:lang w:eastAsia="fr-FR" w:bidi="fr-FR"/>
        </w:rPr>
      </w:pPr>
      <w:r w:rsidRPr="00331ED1">
        <w:rPr>
          <w:szCs w:val="24"/>
          <w:lang w:eastAsia="fr-FR" w:bidi="fr-FR"/>
        </w:rPr>
        <w:t>3)</w:t>
      </w:r>
      <w:r w:rsidRPr="00331ED1">
        <w:rPr>
          <w:szCs w:val="24"/>
          <w:lang w:eastAsia="fr-FR" w:bidi="fr-FR"/>
        </w:rPr>
        <w:tab/>
        <w:t>Un comité scientifique consultatif (CSC) conseille l'AG sur les priorités stratégiques du programme EDCTP-II.</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 xml:space="preserve">Le CSC est nommé par l'AG et est composé d'experts indépendants européens et africains compétents dans les domaines relevant du programme EDCTP-II, </w:t>
      </w:r>
      <w:r w:rsidRPr="00331ED1">
        <w:rPr>
          <w:b/>
          <w:i/>
          <w:color w:val="000000"/>
          <w:szCs w:val="24"/>
          <w:lang w:eastAsia="fr-FR" w:bidi="fr-FR"/>
        </w:rPr>
        <w:t>en tenant compte de l'équilibre entre les femmes et les hommes</w:t>
      </w:r>
      <w:r w:rsidRPr="00331ED1">
        <w:rPr>
          <w:szCs w:val="24"/>
          <w:lang w:eastAsia="fr-FR" w:bidi="fr-FR"/>
        </w:rPr>
        <w:t>.</w:t>
      </w:r>
      <w:r w:rsidRPr="00331ED1">
        <w:rPr>
          <w:b/>
          <w:i/>
          <w:color w:val="000000"/>
          <w:szCs w:val="24"/>
          <w:lang w:eastAsia="fr-FR" w:bidi="fr-FR"/>
        </w:rPr>
        <w:t xml:space="preserve"> </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 CSC assume les tâches suivantes:</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a)</w:t>
      </w:r>
      <w:r w:rsidRPr="00331ED1">
        <w:rPr>
          <w:szCs w:val="24"/>
          <w:lang w:eastAsia="fr-FR" w:bidi="fr-FR"/>
        </w:rPr>
        <w:tab/>
        <w:t>conseiller l'AG sur les priorités et les besoins stratégiques en ce qui concerne les essais cliniques en Afrique;</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br w:type="page"/>
        <w:t>b)</w:t>
      </w:r>
      <w:r w:rsidRPr="00331ED1">
        <w:rPr>
          <w:szCs w:val="24"/>
          <w:lang w:eastAsia="fr-FR" w:bidi="fr-FR"/>
        </w:rPr>
        <w:tab/>
      </w:r>
      <w:r w:rsidRPr="00331ED1">
        <w:rPr>
          <w:color w:val="000000"/>
          <w:szCs w:val="24"/>
          <w:lang w:eastAsia="fr-FR" w:bidi="fr-FR"/>
        </w:rPr>
        <w:t>▌</w:t>
      </w:r>
      <w:r w:rsidRPr="00331ED1">
        <w:rPr>
          <w:szCs w:val="24"/>
          <w:lang w:eastAsia="fr-FR" w:bidi="fr-FR"/>
        </w:rPr>
        <w:t>conseiller l'AG à propos du contenu, de la portée et de l'ampleur du projet de plan de travail annuel de l'EDCTP-II, y compris les maladies couvertes et les approches à adopter, d'un point de vue scientifique et technique;</w:t>
      </w:r>
    </w:p>
    <w:p w:rsidR="002022AB" w:rsidRPr="00331ED1" w:rsidRDefault="002022AB" w:rsidP="00075179">
      <w:pPr>
        <w:spacing w:before="120" w:after="120" w:line="360" w:lineRule="auto"/>
        <w:ind w:left="1418" w:hanging="567"/>
        <w:rPr>
          <w:w w:val="0"/>
          <w:szCs w:val="24"/>
          <w:lang w:eastAsia="fr-FR" w:bidi="fr-FR"/>
        </w:rPr>
      </w:pPr>
      <w:r w:rsidRPr="00331ED1">
        <w:rPr>
          <w:szCs w:val="24"/>
          <w:lang w:eastAsia="fr-FR" w:bidi="fr-FR"/>
        </w:rPr>
        <w:t>c)</w:t>
      </w:r>
      <w:r w:rsidRPr="00331ED1">
        <w:rPr>
          <w:szCs w:val="24"/>
          <w:lang w:eastAsia="fr-FR" w:bidi="fr-FR"/>
        </w:rPr>
        <w:tab/>
        <w:t>contrôler les aspects scientifiques et techniques de la mise en œuvre du programme EDCTP-II et rendre un avis sur le rapport annuel.</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Dans l'exercice de ses tâches, le CSC contrôle et promeut des normes rigoureuses en matière de conduite éthique des essais cliniques et établit le dialogue avec les autorités de réglementation des vaccins.</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Le CSC peut recommander à l'AG la mise en place de sous-comités, task forces et groupes de travail scientifiques.</w:t>
      </w:r>
    </w:p>
    <w:p w:rsidR="002022AB" w:rsidRPr="00331ED1" w:rsidRDefault="002022AB" w:rsidP="00075179">
      <w:pPr>
        <w:spacing w:before="120" w:after="120" w:line="360" w:lineRule="auto"/>
        <w:ind w:left="851"/>
        <w:rPr>
          <w:w w:val="0"/>
          <w:szCs w:val="24"/>
          <w:lang w:eastAsia="fr-FR" w:bidi="fr-FR"/>
        </w:rPr>
      </w:pPr>
      <w:r w:rsidRPr="00331ED1">
        <w:rPr>
          <w:szCs w:val="24"/>
          <w:lang w:eastAsia="fr-FR" w:bidi="fr-FR"/>
        </w:rPr>
        <w:t>L'AG détermine le nombre de membres du CSC, leurs droits de vote et les modalités de leur nomination conformément à l'article </w:t>
      </w:r>
      <w:r w:rsidRPr="00331ED1">
        <w:rPr>
          <w:b/>
          <w:i/>
          <w:color w:val="000000"/>
          <w:szCs w:val="24"/>
          <w:lang w:eastAsia="fr-FR" w:bidi="fr-FR"/>
        </w:rPr>
        <w:t>40</w:t>
      </w:r>
      <w:r w:rsidRPr="00331ED1">
        <w:rPr>
          <w:szCs w:val="24"/>
          <w:lang w:eastAsia="fr-FR" w:bidi="fr-FR"/>
        </w:rPr>
        <w:t xml:space="preserve"> du règlement (UE) nº </w:t>
      </w:r>
      <w:r w:rsidRPr="00331ED1">
        <w:rPr>
          <w:b/>
          <w:i/>
          <w:color w:val="000000"/>
          <w:szCs w:val="24"/>
          <w:lang w:eastAsia="fr-FR" w:bidi="fr-FR"/>
        </w:rPr>
        <w:t>1290/2013</w:t>
      </w:r>
      <w:r w:rsidRPr="00331ED1">
        <w:rPr>
          <w:szCs w:val="24"/>
          <w:lang w:eastAsia="fr-FR" w:bidi="fr-FR"/>
        </w:rPr>
        <w:t>. L'AG peut instituer des groupes de travail spécialisés relevant du CSC, avec des experts indépendants supplémentaires chargés de tâches spécifiques.</w:t>
      </w:r>
    </w:p>
    <w:p w:rsidR="002022AB" w:rsidRPr="00331ED1" w:rsidRDefault="002022AB" w:rsidP="00075179">
      <w:pPr>
        <w:pBdr>
          <w:bottom w:val="single" w:sz="4" w:space="0" w:color="000000"/>
        </w:pBdr>
        <w:spacing w:before="360" w:after="120" w:line="360" w:lineRule="auto"/>
        <w:ind w:left="3400" w:right="3400"/>
        <w:jc w:val="center"/>
        <w:rPr>
          <w:b/>
          <w:szCs w:val="24"/>
          <w:lang w:eastAsia="fr-FR" w:bidi="fr-FR"/>
        </w:rPr>
      </w:pPr>
    </w:p>
    <w:p w:rsidR="002022AB" w:rsidRPr="00AF1DA0" w:rsidRDefault="002022AB" w:rsidP="00075179">
      <w:pPr>
        <w:spacing w:after="240"/>
        <w:ind w:left="567" w:hanging="567"/>
        <w:rPr>
          <w:szCs w:val="24"/>
        </w:rPr>
      </w:pPr>
    </w:p>
    <w:p w:rsidR="002022AB" w:rsidRDefault="002022AB">
      <w:pPr>
        <w:rPr>
          <w:noProof w:val="0"/>
        </w:rPr>
        <w:sectPr w:rsidR="002022AB" w:rsidSect="00075179">
          <w:footerReference w:type="even" r:id="rId44"/>
          <w:footerReference w:type="default" r:id="rId45"/>
          <w:footnotePr>
            <w:numRestart w:val="eachPage"/>
          </w:footnotePr>
          <w:endnotePr>
            <w:numFmt w:val="decimal"/>
          </w:endnotePr>
          <w:pgSz w:w="11905" w:h="16837" w:code="9"/>
          <w:pgMar w:top="1134" w:right="1247" w:bottom="1814" w:left="1418" w:header="720" w:footer="397" w:gutter="0"/>
          <w:cols w:space="720"/>
          <w:noEndnote/>
          <w:docGrid w:linePitch="326"/>
        </w:sectPr>
      </w:pPr>
    </w:p>
    <w:p w:rsidR="002022AB" w:rsidRDefault="002022AB" w:rsidP="00075179">
      <w:pPr>
        <w:pStyle w:val="ATHeading1"/>
      </w:pPr>
      <w:bookmarkStart w:id="46" w:name="_Toc385342996"/>
      <w:bookmarkStart w:id="47" w:name="_Toc385343071"/>
      <w:r>
        <w:t>P7_TA-PROV(2014)0367</w:t>
      </w:r>
      <w:bookmarkEnd w:id="46"/>
      <w:bookmarkEnd w:id="47"/>
    </w:p>
    <w:p w:rsidR="002022AB" w:rsidRDefault="002022AB" w:rsidP="00075179">
      <w:pPr>
        <w:pStyle w:val="ATHeading2"/>
      </w:pPr>
      <w:bookmarkStart w:id="48" w:name="_Toc385342997"/>
      <w:bookmarkStart w:id="49" w:name="_Toc385343072"/>
      <w:r>
        <w:t>Ordonnance européenne de saisie conservatoire des comptes bancaires ***I</w:t>
      </w:r>
      <w:bookmarkEnd w:id="48"/>
      <w:bookmarkEnd w:id="49"/>
    </w:p>
    <w:p w:rsidR="002022AB" w:rsidRDefault="002022AB" w:rsidP="00075179">
      <w:pPr>
        <w:rPr>
          <w:i/>
          <w:vanish/>
        </w:rPr>
      </w:pPr>
      <w:r>
        <w:rPr>
          <w:i/>
        </w:rPr>
        <w:fldChar w:fldCharType="begin"/>
      </w:r>
      <w:r>
        <w:rPr>
          <w:i/>
        </w:rPr>
        <w:instrText xml:space="preserve"> TC"</w:instrText>
      </w:r>
      <w:bookmarkStart w:id="50" w:name="_Toc385342998"/>
      <w:bookmarkStart w:id="51" w:name="_Toc385343073"/>
      <w:r>
        <w:rPr>
          <w:i/>
        </w:rPr>
        <w:instrText>(A7-0227/2013 - Rapporteur: Raffaele Baldassarre)</w:instrText>
      </w:r>
      <w:bookmarkEnd w:id="50"/>
      <w:bookmarkEnd w:id="51"/>
      <w:r>
        <w:rPr>
          <w:i/>
        </w:rPr>
        <w:instrText xml:space="preserve">"\l3 \n&gt; \* MERGEFORMAT </w:instrText>
      </w:r>
      <w:r>
        <w:rPr>
          <w:i/>
        </w:rPr>
        <w:fldChar w:fldCharType="end"/>
      </w:r>
    </w:p>
    <w:p w:rsidR="002022AB" w:rsidRDefault="002022AB" w:rsidP="00075179">
      <w:pPr>
        <w:rPr>
          <w:vanish/>
        </w:rPr>
      </w:pPr>
      <w:r w:rsidRPr="00AF4EE9">
        <w:rPr>
          <w:vanish/>
        </w:rPr>
        <w:t>Commission des affaires juridiques</w:t>
      </w:r>
    </w:p>
    <w:p w:rsidR="002022AB" w:rsidRDefault="002022AB" w:rsidP="00075179">
      <w:pPr>
        <w:rPr>
          <w:vanish/>
        </w:rPr>
      </w:pPr>
      <w:r w:rsidRPr="00AF4EE9">
        <w:rPr>
          <w:vanish/>
        </w:rPr>
        <w:t>PE483.539</w:t>
      </w:r>
    </w:p>
    <w:p w:rsidR="002022AB" w:rsidRDefault="002022AB" w:rsidP="00075179">
      <w:pPr>
        <w:pStyle w:val="ATHeading3"/>
      </w:pPr>
      <w:bookmarkStart w:id="52" w:name="_Toc385343074"/>
      <w:r>
        <w:t>Résolution législative du Parlement européen du 15 avril 2014 sur la proposition de règlement du Parlement européen et du Conseil portant création d'une ordonnance européenne de saisie conservatoire des comptes bancaires, destinée à faciliter le recouvrement transfrontière de créances en matière civile et commerciale (COM(2011)0445 – C7-0211/2011 – 2011/0204(COD))</w:t>
      </w:r>
      <w:bookmarkEnd w:id="52"/>
    </w:p>
    <w:p w:rsidR="002022AB" w:rsidRDefault="002022AB" w:rsidP="00075179"/>
    <w:p w:rsidR="002022AB" w:rsidRPr="006947A1" w:rsidRDefault="002022AB" w:rsidP="00075179">
      <w:pPr>
        <w:pStyle w:val="Normal12Bold"/>
        <w:rPr>
          <w:szCs w:val="24"/>
        </w:rPr>
      </w:pPr>
      <w:r w:rsidRPr="006947A1">
        <w:rPr>
          <w:noProof/>
          <w:szCs w:val="24"/>
        </w:rPr>
        <w:t>(Procédure législative ordinaire:</w:t>
      </w:r>
      <w:r w:rsidRPr="006947A1">
        <w:rPr>
          <w:szCs w:val="24"/>
        </w:rPr>
        <w:t xml:space="preserve"> </w:t>
      </w:r>
      <w:r w:rsidRPr="006947A1">
        <w:rPr>
          <w:noProof/>
          <w:szCs w:val="24"/>
        </w:rPr>
        <w:t>première lecture)</w:t>
      </w:r>
    </w:p>
    <w:p w:rsidR="002022AB" w:rsidRPr="006947A1" w:rsidRDefault="002022AB" w:rsidP="00075179">
      <w:pPr>
        <w:pStyle w:val="Normal12"/>
        <w:spacing w:before="360"/>
        <w:rPr>
          <w:szCs w:val="24"/>
        </w:rPr>
      </w:pPr>
      <w:r w:rsidRPr="006947A1">
        <w:rPr>
          <w:i/>
          <w:noProof/>
          <w:szCs w:val="24"/>
        </w:rPr>
        <w:t>Le Parlement européen</w:t>
      </w:r>
      <w:r w:rsidRPr="006947A1">
        <w:rPr>
          <w:noProof/>
          <w:szCs w:val="24"/>
        </w:rPr>
        <w:t>,</w:t>
      </w:r>
    </w:p>
    <w:p w:rsidR="002022AB" w:rsidRPr="006947A1" w:rsidRDefault="002022AB" w:rsidP="00075179">
      <w:pPr>
        <w:pStyle w:val="Normal12Hanging"/>
        <w:widowControl/>
        <w:rPr>
          <w:szCs w:val="24"/>
        </w:rPr>
      </w:pPr>
      <w:r w:rsidRPr="006947A1">
        <w:rPr>
          <w:szCs w:val="24"/>
        </w:rPr>
        <w:t>–</w:t>
      </w:r>
      <w:r w:rsidRPr="006947A1">
        <w:rPr>
          <w:szCs w:val="24"/>
        </w:rPr>
        <w:tab/>
      </w:r>
      <w:r w:rsidRPr="006947A1">
        <w:rPr>
          <w:noProof/>
          <w:szCs w:val="24"/>
        </w:rPr>
        <w:t>vu la proposition de la Commission au Parlement européen et au Conseil (COM(2011)0445),</w:t>
      </w:r>
    </w:p>
    <w:p w:rsidR="002022AB" w:rsidRPr="006947A1" w:rsidRDefault="002022AB" w:rsidP="00075179">
      <w:pPr>
        <w:pStyle w:val="Normal12Hanging"/>
        <w:widowControl/>
        <w:rPr>
          <w:szCs w:val="24"/>
        </w:rPr>
      </w:pPr>
      <w:r w:rsidRPr="006947A1">
        <w:rPr>
          <w:szCs w:val="24"/>
        </w:rPr>
        <w:t>–</w:t>
      </w:r>
      <w:r w:rsidRPr="006947A1">
        <w:rPr>
          <w:szCs w:val="24"/>
        </w:rPr>
        <w:tab/>
      </w:r>
      <w:r w:rsidRPr="006947A1">
        <w:rPr>
          <w:noProof/>
          <w:szCs w:val="24"/>
        </w:rPr>
        <w:t>vu l'article 294, paragraphe 2, et l'article 81, paragraphe 2, points a), e) et f), du traité sur le fonctionnement de l'Union européenne, conformément auxquels la proposition lui a été présentée par la Commission (C7</w:t>
      </w:r>
      <w:r w:rsidRPr="006947A1">
        <w:rPr>
          <w:noProof/>
          <w:szCs w:val="24"/>
        </w:rPr>
        <w:noBreakHyphen/>
        <w:t>0211/2011),</w:t>
      </w:r>
    </w:p>
    <w:p w:rsidR="002022AB" w:rsidRDefault="002022AB" w:rsidP="00075179">
      <w:pPr>
        <w:pStyle w:val="Normal12Hanging"/>
        <w:widowControl/>
        <w:rPr>
          <w:noProof/>
          <w:szCs w:val="24"/>
        </w:rPr>
      </w:pPr>
      <w:r w:rsidRPr="006947A1">
        <w:rPr>
          <w:szCs w:val="24"/>
        </w:rPr>
        <w:t>–</w:t>
      </w:r>
      <w:r w:rsidRPr="006947A1">
        <w:rPr>
          <w:szCs w:val="24"/>
        </w:rPr>
        <w:tab/>
      </w:r>
      <w:r w:rsidRPr="006947A1">
        <w:rPr>
          <w:noProof/>
          <w:szCs w:val="24"/>
        </w:rPr>
        <w:t>vu l'article 294, paragraphe 3, du traité sur le fonctionnement de l'Union européenne,</w:t>
      </w:r>
    </w:p>
    <w:p w:rsidR="002022AB" w:rsidRDefault="002022AB" w:rsidP="00075179">
      <w:pPr>
        <w:pStyle w:val="Normal12Hanging"/>
        <w:widowControl/>
        <w:rPr>
          <w:noProof/>
          <w:szCs w:val="24"/>
        </w:rPr>
      </w:pPr>
      <w:r w:rsidRPr="006947A1">
        <w:rPr>
          <w:szCs w:val="24"/>
        </w:rPr>
        <w:t>–</w:t>
      </w:r>
      <w:r w:rsidRPr="006947A1">
        <w:rPr>
          <w:szCs w:val="24"/>
        </w:rPr>
        <w:tab/>
      </w:r>
      <w:r w:rsidRPr="006947A1">
        <w:rPr>
          <w:noProof/>
          <w:szCs w:val="24"/>
        </w:rPr>
        <w:t>vu l'a</w:t>
      </w:r>
      <w:r>
        <w:rPr>
          <w:noProof/>
          <w:szCs w:val="24"/>
        </w:rPr>
        <w:t>vis du Comité économique et social européen du 26 avril 2012</w:t>
      </w:r>
      <w:r>
        <w:rPr>
          <w:rStyle w:val="FootnoteReference"/>
          <w:szCs w:val="24"/>
        </w:rPr>
        <w:footnoteReference w:id="63"/>
      </w:r>
      <w:r w:rsidRPr="006947A1">
        <w:rPr>
          <w:noProof/>
          <w:szCs w:val="24"/>
        </w:rPr>
        <w:t>,</w:t>
      </w:r>
    </w:p>
    <w:p w:rsidR="002022AB" w:rsidRDefault="002022AB" w:rsidP="00075179">
      <w:pPr>
        <w:pStyle w:val="Normal12Hanging"/>
        <w:widowControl/>
      </w:pPr>
      <w:r w:rsidRPr="00B04248">
        <w:t>–</w:t>
      </w:r>
      <w:r w:rsidRPr="00B04248">
        <w:tab/>
        <w:t xml:space="preserve">vu l'engagement pris </w:t>
      </w:r>
      <w:r w:rsidRPr="00DE7A74">
        <w:rPr>
          <w:noProof/>
          <w:szCs w:val="24"/>
        </w:rPr>
        <w:t>par</w:t>
      </w:r>
      <w:r w:rsidRPr="00B04248">
        <w:t xml:space="preserve"> le représentant du Conseil, par lettre du </w:t>
      </w:r>
      <w:r>
        <w:t>6</w:t>
      </w:r>
      <w:r w:rsidRPr="00B04248">
        <w:t> </w:t>
      </w:r>
      <w:r>
        <w:t>février</w:t>
      </w:r>
      <w:r w:rsidRPr="00B04248">
        <w:t> 201</w:t>
      </w:r>
      <w:r>
        <w:t>4</w:t>
      </w:r>
      <w:r w:rsidRPr="00B04248">
        <w:t>, d'approuver la position du Parlement européen, conformément à l'article 294, paragraphe 4, du traité sur le fonctionnement de l'Union européenne,</w:t>
      </w:r>
    </w:p>
    <w:p w:rsidR="002022AB" w:rsidRPr="006947A1" w:rsidRDefault="002022AB" w:rsidP="00075179">
      <w:pPr>
        <w:pStyle w:val="Normal12Hanging"/>
        <w:widowControl/>
        <w:rPr>
          <w:szCs w:val="24"/>
        </w:rPr>
      </w:pPr>
      <w:r w:rsidRPr="006947A1">
        <w:rPr>
          <w:szCs w:val="24"/>
        </w:rPr>
        <w:t>–</w:t>
      </w:r>
      <w:r w:rsidRPr="006947A1">
        <w:rPr>
          <w:szCs w:val="24"/>
        </w:rPr>
        <w:tab/>
      </w:r>
      <w:r w:rsidRPr="006947A1">
        <w:rPr>
          <w:noProof/>
          <w:szCs w:val="24"/>
        </w:rPr>
        <w:t>vu l'article 55 de son règlement,</w:t>
      </w:r>
    </w:p>
    <w:p w:rsidR="002022AB" w:rsidRPr="006947A1" w:rsidRDefault="002022AB" w:rsidP="00075179">
      <w:pPr>
        <w:pStyle w:val="Normal12Hanging"/>
        <w:widowControl/>
        <w:rPr>
          <w:szCs w:val="24"/>
        </w:rPr>
      </w:pPr>
      <w:r w:rsidRPr="006947A1">
        <w:rPr>
          <w:szCs w:val="24"/>
        </w:rPr>
        <w:t>–</w:t>
      </w:r>
      <w:r w:rsidRPr="006947A1">
        <w:rPr>
          <w:szCs w:val="24"/>
        </w:rPr>
        <w:tab/>
      </w:r>
      <w:r w:rsidRPr="006947A1">
        <w:rPr>
          <w:noProof/>
          <w:szCs w:val="24"/>
        </w:rPr>
        <w:t>vu le rapport de la commission des affaires juridiques et l'avis de la commission des affaires économiques et monétaires (A7-0227/2013),</w:t>
      </w:r>
    </w:p>
    <w:p w:rsidR="002022AB" w:rsidRPr="006947A1" w:rsidRDefault="002022AB" w:rsidP="00075179">
      <w:pPr>
        <w:pStyle w:val="Normal12Hanging"/>
        <w:widowControl/>
        <w:rPr>
          <w:szCs w:val="24"/>
        </w:rPr>
      </w:pPr>
      <w:r w:rsidRPr="006947A1">
        <w:rPr>
          <w:szCs w:val="24"/>
        </w:rPr>
        <w:t>1.</w:t>
      </w:r>
      <w:r w:rsidRPr="006947A1">
        <w:rPr>
          <w:szCs w:val="24"/>
        </w:rPr>
        <w:tab/>
      </w:r>
      <w:r w:rsidRPr="006947A1">
        <w:rPr>
          <w:noProof/>
          <w:szCs w:val="24"/>
        </w:rPr>
        <w:t>arrête la position en première lecture figurant ci-après;</w:t>
      </w:r>
    </w:p>
    <w:p w:rsidR="002022AB" w:rsidRPr="006947A1" w:rsidRDefault="002022AB" w:rsidP="00075179">
      <w:pPr>
        <w:pStyle w:val="Normal12Hanging"/>
        <w:widowControl/>
        <w:rPr>
          <w:szCs w:val="24"/>
        </w:rPr>
      </w:pPr>
      <w:r w:rsidRPr="006947A1">
        <w:rPr>
          <w:szCs w:val="24"/>
        </w:rPr>
        <w:t>2.</w:t>
      </w:r>
      <w:r w:rsidRPr="006947A1">
        <w:rPr>
          <w:szCs w:val="24"/>
        </w:rPr>
        <w:tab/>
      </w:r>
      <w:r w:rsidRPr="006947A1">
        <w:rPr>
          <w:noProof/>
          <w:szCs w:val="24"/>
        </w:rPr>
        <w:t>demande à la Commission de le saisir à nouveau, si elle entend modifier de manière substantielle sa proposition ou la remplacer par un autre texte;</w:t>
      </w:r>
    </w:p>
    <w:p w:rsidR="002022AB" w:rsidRPr="006947A1" w:rsidRDefault="002022AB" w:rsidP="00075179">
      <w:pPr>
        <w:pStyle w:val="Normal12Hanging"/>
        <w:widowControl/>
        <w:rPr>
          <w:szCs w:val="24"/>
        </w:rPr>
      </w:pPr>
      <w:r w:rsidRPr="006947A1">
        <w:rPr>
          <w:szCs w:val="24"/>
        </w:rPr>
        <w:t>3.</w:t>
      </w:r>
      <w:r w:rsidRPr="006947A1">
        <w:rPr>
          <w:szCs w:val="24"/>
        </w:rPr>
        <w:tab/>
      </w:r>
      <w:r w:rsidRPr="006947A1">
        <w:rPr>
          <w:noProof/>
          <w:szCs w:val="24"/>
        </w:rPr>
        <w:t>charge son Président de transmettre la position du Parlement au Conseil et à la Commission ainsi qu'aux parlements nationaux.</w:t>
      </w:r>
    </w:p>
    <w:p w:rsidR="002022AB" w:rsidRDefault="002022AB" w:rsidP="00075179">
      <w:pPr>
        <w:pStyle w:val="Normal12Hanging"/>
        <w:rPr>
          <w:szCs w:val="24"/>
        </w:rPr>
      </w:pPr>
    </w:p>
    <w:p w:rsidR="002022AB" w:rsidRPr="00C617B0" w:rsidRDefault="002022AB" w:rsidP="00075179">
      <w:pPr>
        <w:spacing w:after="240"/>
        <w:rPr>
          <w:b/>
        </w:rPr>
      </w:pPr>
      <w:r>
        <w:rPr>
          <w:szCs w:val="24"/>
        </w:rPr>
        <w:br w:type="page"/>
      </w:r>
      <w:r w:rsidRPr="00C617B0">
        <w:rPr>
          <w:b/>
        </w:rPr>
        <w:t>P7_TC1-COD(</w:t>
      </w:r>
      <w:r>
        <w:rPr>
          <w:b/>
        </w:rPr>
        <w:t>2011</w:t>
      </w:r>
      <w:r w:rsidRPr="00C617B0">
        <w:rPr>
          <w:b/>
        </w:rPr>
        <w:t>)</w:t>
      </w:r>
      <w:r>
        <w:rPr>
          <w:b/>
        </w:rPr>
        <w:t>0204</w:t>
      </w:r>
    </w:p>
    <w:p w:rsidR="002022AB" w:rsidRPr="002B2F0B" w:rsidRDefault="002022AB" w:rsidP="00075179">
      <w:pPr>
        <w:spacing w:after="240"/>
        <w:rPr>
          <w:b/>
        </w:rPr>
      </w:pPr>
      <w:r w:rsidRPr="00C92B87">
        <w:rPr>
          <w:b/>
        </w:rPr>
        <w:t xml:space="preserve">Position du Parlement européen arrêtée en première lecture le </w:t>
      </w:r>
      <w:r>
        <w:rPr>
          <w:b/>
        </w:rPr>
        <w:t xml:space="preserve">15 </w:t>
      </w:r>
      <w:r w:rsidRPr="002B2F0B">
        <w:rPr>
          <w:b/>
        </w:rPr>
        <w:t>avril 2014 en vue de l’adoption du règlement (UE) n° .../2014 du Parlement européen et du</w:t>
      </w:r>
      <w:r w:rsidRPr="00C92B87">
        <w:rPr>
          <w:b/>
        </w:rPr>
        <w:t xml:space="preserve"> Conseil </w:t>
      </w:r>
      <w:r w:rsidRPr="002B2F0B">
        <w:rPr>
          <w:b/>
          <w:szCs w:val="24"/>
          <w:lang w:eastAsia="fr-FR"/>
        </w:rPr>
        <w:t>portant création d'une procédure d'ordonnance européenne de saisie conservatoire des comptes bancaires, destinée à faciliter le recouvrement transfrontière de créances en</w:t>
      </w:r>
      <w:r>
        <w:rPr>
          <w:b/>
          <w:szCs w:val="24"/>
          <w:lang w:eastAsia="fr-FR"/>
        </w:rPr>
        <w:t xml:space="preserve"> </w:t>
      </w:r>
      <w:r w:rsidRPr="002B2F0B">
        <w:rPr>
          <w:b/>
          <w:szCs w:val="24"/>
          <w:lang w:eastAsia="fr-FR"/>
        </w:rPr>
        <w:t>matière</w:t>
      </w:r>
      <w:r>
        <w:rPr>
          <w:b/>
          <w:szCs w:val="24"/>
          <w:lang w:eastAsia="fr-FR"/>
        </w:rPr>
        <w:t xml:space="preserve"> </w:t>
      </w:r>
      <w:r w:rsidRPr="002B2F0B">
        <w:rPr>
          <w:b/>
          <w:szCs w:val="24"/>
          <w:lang w:eastAsia="fr-FR"/>
        </w:rPr>
        <w:t>civile</w:t>
      </w:r>
      <w:r>
        <w:rPr>
          <w:b/>
          <w:szCs w:val="24"/>
          <w:lang w:eastAsia="fr-FR"/>
        </w:rPr>
        <w:t xml:space="preserve"> </w:t>
      </w:r>
      <w:r w:rsidRPr="002B2F0B">
        <w:rPr>
          <w:b/>
          <w:szCs w:val="24"/>
          <w:lang w:eastAsia="fr-FR"/>
        </w:rPr>
        <w:t>et commerciale</w:t>
      </w:r>
    </w:p>
    <w:p w:rsidR="002022AB" w:rsidRPr="002B2F0B" w:rsidRDefault="002022AB" w:rsidP="00075179">
      <w:pPr>
        <w:spacing w:before="120" w:after="120" w:line="360" w:lineRule="auto"/>
        <w:jc w:val="center"/>
        <w:rPr>
          <w:b/>
          <w:bCs/>
          <w:szCs w:val="24"/>
          <w:lang w:eastAsia="fr-FR"/>
        </w:rPr>
      </w:pPr>
    </w:p>
    <w:p w:rsidR="002022AB" w:rsidRPr="002B2F0B" w:rsidRDefault="002022AB" w:rsidP="00075179">
      <w:pPr>
        <w:keepNext/>
        <w:spacing w:before="120" w:after="120" w:line="360" w:lineRule="auto"/>
        <w:jc w:val="both"/>
        <w:rPr>
          <w:szCs w:val="24"/>
          <w:lang w:eastAsia="fr-FR"/>
        </w:rPr>
      </w:pPr>
      <w:r w:rsidRPr="002B2F0B">
        <w:rPr>
          <w:szCs w:val="24"/>
          <w:lang w:eastAsia="fr-FR"/>
        </w:rPr>
        <w:t>LE PARLEMENT EUROPÉEN ET LE CONSEIL DE L'UNION EUROPÉENNE,</w:t>
      </w:r>
    </w:p>
    <w:p w:rsidR="002022AB" w:rsidRPr="002B2F0B" w:rsidRDefault="002022AB" w:rsidP="00075179">
      <w:pPr>
        <w:spacing w:before="120" w:after="120" w:line="360" w:lineRule="auto"/>
        <w:jc w:val="both"/>
        <w:rPr>
          <w:szCs w:val="24"/>
          <w:lang w:eastAsia="fr-FR"/>
        </w:rPr>
      </w:pPr>
      <w:r w:rsidRPr="002B2F0B">
        <w:rPr>
          <w:szCs w:val="24"/>
          <w:lang w:eastAsia="fr-FR"/>
        </w:rPr>
        <w:t>vu le traité sur le fonctionnement de l'Union européenne, et notamment son article 81, paragraphe 2, points a), e) et f),</w:t>
      </w:r>
    </w:p>
    <w:p w:rsidR="002022AB" w:rsidRPr="002B2F0B" w:rsidRDefault="002022AB" w:rsidP="00075179">
      <w:pPr>
        <w:spacing w:before="120" w:after="120" w:line="360" w:lineRule="auto"/>
        <w:jc w:val="both"/>
        <w:rPr>
          <w:szCs w:val="24"/>
          <w:lang w:eastAsia="fr-FR"/>
        </w:rPr>
      </w:pPr>
      <w:r w:rsidRPr="002B2F0B">
        <w:rPr>
          <w:szCs w:val="24"/>
          <w:lang w:eastAsia="fr-FR"/>
        </w:rPr>
        <w:t>vu la proposition de la Commission européenne,</w:t>
      </w:r>
    </w:p>
    <w:p w:rsidR="002022AB" w:rsidRPr="002B2F0B" w:rsidRDefault="002022AB" w:rsidP="00075179">
      <w:pPr>
        <w:spacing w:before="120" w:after="120" w:line="360" w:lineRule="auto"/>
        <w:jc w:val="both"/>
        <w:rPr>
          <w:szCs w:val="24"/>
          <w:lang w:eastAsia="fr-FR"/>
        </w:rPr>
      </w:pPr>
      <w:r w:rsidRPr="002B2F0B">
        <w:rPr>
          <w:szCs w:val="24"/>
          <w:lang w:eastAsia="fr-FR"/>
        </w:rPr>
        <w:t>après transmission du projet d'acte législatif aux parlements nationaux,</w:t>
      </w:r>
    </w:p>
    <w:p w:rsidR="002022AB" w:rsidRPr="002B2F0B" w:rsidRDefault="002022AB" w:rsidP="00075179">
      <w:pPr>
        <w:spacing w:before="120" w:after="120" w:line="360" w:lineRule="auto"/>
        <w:jc w:val="both"/>
        <w:rPr>
          <w:szCs w:val="24"/>
          <w:lang w:eastAsia="fr-FR"/>
        </w:rPr>
      </w:pPr>
      <w:r w:rsidRPr="002B2F0B">
        <w:rPr>
          <w:szCs w:val="24"/>
          <w:lang w:eastAsia="fr-FR"/>
        </w:rPr>
        <w:t>vu l'avis du Comité économique et social européen</w:t>
      </w:r>
      <w:r w:rsidRPr="002B2F0B">
        <w:rPr>
          <w:b/>
          <w:bCs/>
          <w:szCs w:val="24"/>
          <w:vertAlign w:val="superscript"/>
          <w:lang w:eastAsia="fr-FR"/>
        </w:rPr>
        <w:footnoteReference w:id="64"/>
      </w:r>
      <w:r w:rsidRPr="002B2F0B">
        <w:rPr>
          <w:szCs w:val="24"/>
          <w:lang w:eastAsia="fr-FR"/>
        </w:rPr>
        <w:t xml:space="preserve">, </w:t>
      </w:r>
    </w:p>
    <w:p w:rsidR="002022AB" w:rsidRPr="002B2F0B" w:rsidRDefault="002022AB" w:rsidP="00075179">
      <w:pPr>
        <w:spacing w:before="120" w:after="120" w:line="360" w:lineRule="auto"/>
        <w:jc w:val="both"/>
        <w:rPr>
          <w:szCs w:val="24"/>
          <w:lang w:eastAsia="fr-FR"/>
        </w:rPr>
      </w:pPr>
      <w:r w:rsidRPr="002B2F0B">
        <w:rPr>
          <w:szCs w:val="24"/>
          <w:lang w:eastAsia="fr-FR"/>
        </w:rPr>
        <w:t>statuant conformément à la procédure législative ordinaire</w:t>
      </w:r>
      <w:r w:rsidRPr="002B2F0B">
        <w:rPr>
          <w:b/>
          <w:bCs/>
          <w:szCs w:val="24"/>
          <w:vertAlign w:val="superscript"/>
          <w:lang w:eastAsia="fr-FR"/>
        </w:rPr>
        <w:footnoteReference w:id="65"/>
      </w:r>
      <w:r w:rsidRPr="002B2F0B">
        <w:rPr>
          <w:szCs w:val="24"/>
          <w:lang w:eastAsia="fr-FR"/>
        </w:rPr>
        <w:t>,</w:t>
      </w:r>
    </w:p>
    <w:p w:rsidR="002022AB" w:rsidRPr="002B2F0B" w:rsidRDefault="002022AB" w:rsidP="00075179">
      <w:pPr>
        <w:spacing w:before="120" w:after="120" w:line="360" w:lineRule="auto"/>
        <w:jc w:val="both"/>
        <w:rPr>
          <w:szCs w:val="24"/>
          <w:lang w:eastAsia="fr-FR"/>
        </w:rPr>
      </w:pPr>
      <w:r w:rsidRPr="002B2F0B">
        <w:rPr>
          <w:szCs w:val="24"/>
          <w:lang w:eastAsia="fr-FR"/>
        </w:rPr>
        <w:t>▌</w:t>
      </w:r>
    </w:p>
    <w:p w:rsidR="002022AB" w:rsidRPr="002B2F0B" w:rsidRDefault="002022AB" w:rsidP="00075179">
      <w:pPr>
        <w:spacing w:before="120" w:after="120" w:line="360" w:lineRule="auto"/>
        <w:jc w:val="both"/>
        <w:rPr>
          <w:szCs w:val="24"/>
          <w:lang w:eastAsia="fr-FR"/>
        </w:rPr>
      </w:pPr>
      <w:r w:rsidRPr="002B2F0B">
        <w:rPr>
          <w:szCs w:val="24"/>
          <w:lang w:eastAsia="fr-FR"/>
        </w:rPr>
        <w:br w:type="page"/>
        <w:t>considérant ce qui suit:</w:t>
      </w:r>
    </w:p>
    <w:p w:rsidR="002022AB" w:rsidRPr="002B2F0B" w:rsidRDefault="002022AB" w:rsidP="00075179">
      <w:pPr>
        <w:spacing w:before="120" w:after="120" w:line="360" w:lineRule="auto"/>
        <w:ind w:left="567" w:hanging="567"/>
        <w:rPr>
          <w:szCs w:val="24"/>
          <w:lang w:eastAsia="fr-FR"/>
        </w:rPr>
      </w:pPr>
      <w:r w:rsidRPr="002B2F0B">
        <w:rPr>
          <w:szCs w:val="24"/>
          <w:lang w:eastAsia="fr-FR"/>
        </w:rPr>
        <w:t>(1)</w:t>
      </w:r>
      <w:r w:rsidRPr="002B2F0B">
        <w:rPr>
          <w:szCs w:val="24"/>
          <w:lang w:eastAsia="fr-FR"/>
        </w:rPr>
        <w:tab/>
        <w:t xml:space="preserve">L'Union s'est donné pour objectif de maintenir et de développer un espace de liberté, de sécurité et de justice au sein duquel est assurée la libre circulation des personnes. En vue de l'établissement progressif de cet espace, l'Union </w:t>
      </w:r>
      <w:r w:rsidRPr="002B2F0B">
        <w:rPr>
          <w:b/>
          <w:i/>
          <w:iCs/>
          <w:szCs w:val="24"/>
          <w:lang w:eastAsia="fr-FR"/>
        </w:rPr>
        <w:t>doit</w:t>
      </w:r>
      <w:r w:rsidRPr="002B2F0B">
        <w:rPr>
          <w:szCs w:val="24"/>
          <w:lang w:eastAsia="fr-FR"/>
        </w:rPr>
        <w:t xml:space="preserve"> adopter ▌des mesures relevant du domaine de la coopération judiciaire dans les matières civiles ayant une incidence transfrontière, notamment lorsque cela est nécessaire au bon fonctionnement du marché intérieur. </w:t>
      </w:r>
    </w:p>
    <w:p w:rsidR="002022AB" w:rsidRPr="002B2F0B" w:rsidRDefault="002022AB" w:rsidP="00075179">
      <w:pPr>
        <w:spacing w:before="120" w:after="120" w:line="360" w:lineRule="auto"/>
        <w:ind w:left="567" w:hanging="567"/>
        <w:rPr>
          <w:szCs w:val="24"/>
          <w:lang w:eastAsia="fr-FR"/>
        </w:rPr>
      </w:pPr>
      <w:r w:rsidRPr="002B2F0B">
        <w:rPr>
          <w:szCs w:val="24"/>
          <w:lang w:eastAsia="fr-FR"/>
        </w:rPr>
        <w:t>(2)</w:t>
      </w:r>
      <w:r w:rsidRPr="002B2F0B">
        <w:rPr>
          <w:szCs w:val="24"/>
          <w:lang w:eastAsia="fr-FR"/>
        </w:rPr>
        <w:tab/>
        <w:t xml:space="preserve">Conformément à l'article 81, paragraphe 2, du traité sur le fonctionnement de l'Union européenne, </w:t>
      </w:r>
      <w:r w:rsidRPr="002B2F0B">
        <w:rPr>
          <w:b/>
          <w:bCs/>
          <w:i/>
          <w:iCs/>
          <w:szCs w:val="24"/>
          <w:lang w:eastAsia="fr-FR"/>
        </w:rPr>
        <w:t>ces</w:t>
      </w:r>
      <w:r w:rsidRPr="002B2F0B">
        <w:rPr>
          <w:szCs w:val="24"/>
          <w:lang w:eastAsia="fr-FR"/>
        </w:rPr>
        <w:t xml:space="preserve"> mesures </w:t>
      </w:r>
      <w:r w:rsidRPr="002B2F0B">
        <w:rPr>
          <w:b/>
          <w:bCs/>
          <w:i/>
          <w:iCs/>
          <w:szCs w:val="24"/>
          <w:lang w:eastAsia="fr-FR"/>
        </w:rPr>
        <w:t>peuvent</w:t>
      </w:r>
      <w:r w:rsidRPr="002B2F0B">
        <w:rPr>
          <w:szCs w:val="24"/>
          <w:lang w:eastAsia="fr-FR"/>
        </w:rPr>
        <w:t xml:space="preserve"> comprendre </w:t>
      </w:r>
      <w:r w:rsidRPr="002B2F0B">
        <w:rPr>
          <w:b/>
          <w:i/>
          <w:iCs/>
          <w:szCs w:val="24"/>
          <w:lang w:eastAsia="fr-FR"/>
        </w:rPr>
        <w:t>des mesures visant à </w:t>
      </w:r>
      <w:r w:rsidRPr="002B2F0B">
        <w:rPr>
          <w:bCs/>
          <w:szCs w:val="24"/>
          <w:lang w:eastAsia="fr-FR"/>
        </w:rPr>
        <w:t>assurer,</w:t>
      </w:r>
      <w:r w:rsidRPr="002B2F0B">
        <w:rPr>
          <w:szCs w:val="24"/>
          <w:lang w:eastAsia="fr-FR"/>
        </w:rPr>
        <w:t xml:space="preserve"> entre autres, la reconnaissance mutuelle entre les États membres des décisions judiciaires, et leur exécution, un accès effectif à la justice et l'élimination des obstacles au bon déroulement des procédures civiles, </w:t>
      </w:r>
      <w:r w:rsidRPr="002B2F0B">
        <w:rPr>
          <w:b/>
          <w:bCs/>
          <w:i/>
          <w:iCs/>
          <w:szCs w:val="24"/>
          <w:lang w:eastAsia="fr-FR"/>
        </w:rPr>
        <w:t>au besoin,</w:t>
      </w:r>
      <w:r w:rsidRPr="002B2F0B">
        <w:rPr>
          <w:szCs w:val="24"/>
          <w:lang w:eastAsia="fr-FR"/>
        </w:rPr>
        <w:t xml:space="preserve"> en favorisant la compatibilité des règles de procédure civile applicables dans les États membres. ▌</w:t>
      </w:r>
    </w:p>
    <w:p w:rsidR="002022AB" w:rsidRPr="002B2F0B" w:rsidRDefault="002022AB" w:rsidP="00075179">
      <w:pPr>
        <w:spacing w:before="120" w:after="120" w:line="360" w:lineRule="auto"/>
        <w:ind w:left="567" w:hanging="567"/>
        <w:rPr>
          <w:szCs w:val="24"/>
          <w:lang w:eastAsia="fr-FR"/>
        </w:rPr>
      </w:pPr>
      <w:r w:rsidRPr="002B2F0B">
        <w:rPr>
          <w:szCs w:val="24"/>
          <w:lang w:eastAsia="fr-FR"/>
        </w:rPr>
        <w:t>▌</w:t>
      </w:r>
    </w:p>
    <w:p w:rsidR="002022AB" w:rsidRPr="002B2F0B" w:rsidRDefault="002022AB" w:rsidP="00075179">
      <w:pPr>
        <w:spacing w:before="120" w:after="120" w:line="360" w:lineRule="auto"/>
        <w:ind w:left="567" w:hanging="567"/>
        <w:rPr>
          <w:szCs w:val="24"/>
          <w:lang w:eastAsia="fr-FR"/>
        </w:rPr>
      </w:pPr>
      <w:r w:rsidRPr="002B2F0B">
        <w:rPr>
          <w:szCs w:val="24"/>
          <w:lang w:eastAsia="fr-FR"/>
        </w:rPr>
        <w:t>(3)</w:t>
      </w:r>
      <w:r w:rsidRPr="002B2F0B">
        <w:rPr>
          <w:szCs w:val="24"/>
          <w:lang w:eastAsia="fr-FR"/>
        </w:rPr>
        <w:tab/>
      </w:r>
      <w:r w:rsidRPr="002B2F0B">
        <w:rPr>
          <w:bCs/>
          <w:szCs w:val="24"/>
          <w:lang w:eastAsia="fr-FR"/>
        </w:rPr>
        <w:t>Le 24 octobre 2006,</w:t>
      </w:r>
      <w:r w:rsidRPr="002B2F0B">
        <w:rPr>
          <w:i/>
          <w:iCs/>
          <w:szCs w:val="24"/>
          <w:lang w:eastAsia="fr-FR"/>
        </w:rPr>
        <w:t xml:space="preserve"> </w:t>
      </w:r>
      <w:r w:rsidRPr="002B2F0B">
        <w:rPr>
          <w:b/>
          <w:i/>
          <w:iCs/>
          <w:szCs w:val="24"/>
          <w:lang w:eastAsia="fr-FR"/>
        </w:rPr>
        <w:t>par le biais de son</w:t>
      </w:r>
      <w:r w:rsidRPr="002B2F0B">
        <w:rPr>
          <w:szCs w:val="24"/>
          <w:lang w:eastAsia="fr-FR"/>
        </w:rPr>
        <w:t xml:space="preserve"> "livre vert sur l'amélioration de l'exécution des décisions de justice au sein de l'Union européenne: la saisie des avoirs bancaires", </w:t>
      </w:r>
      <w:r w:rsidRPr="002B2F0B">
        <w:rPr>
          <w:b/>
          <w:i/>
          <w:iCs/>
          <w:szCs w:val="24"/>
          <w:lang w:eastAsia="fr-FR"/>
        </w:rPr>
        <w:t>la Commission</w:t>
      </w:r>
      <w:r w:rsidRPr="002B2F0B">
        <w:rPr>
          <w:szCs w:val="24"/>
          <w:lang w:eastAsia="fr-FR"/>
        </w:rPr>
        <w:t xml:space="preserve"> a lancé une consultation sur la nécessité d'une procédure européenne uniforme de saisie conservatoire des comptes bancaires </w:t>
      </w:r>
      <w:r w:rsidRPr="002B2F0B">
        <w:rPr>
          <w:b/>
          <w:bCs/>
          <w:i/>
          <w:iCs/>
          <w:szCs w:val="24"/>
          <w:lang w:eastAsia="fr-FR"/>
        </w:rPr>
        <w:t>et les caractéristiques</w:t>
      </w:r>
      <w:r w:rsidRPr="002B2F0B">
        <w:rPr>
          <w:szCs w:val="24"/>
          <w:lang w:eastAsia="fr-FR"/>
        </w:rPr>
        <w:t xml:space="preserve"> </w:t>
      </w:r>
      <w:r w:rsidRPr="002B2F0B">
        <w:rPr>
          <w:b/>
          <w:bCs/>
          <w:i/>
          <w:iCs/>
          <w:szCs w:val="24"/>
          <w:lang w:eastAsia="fr-FR"/>
        </w:rPr>
        <w:t>que cette procédure pourrait avoir</w:t>
      </w:r>
      <w:r w:rsidRPr="002B2F0B">
        <w:rPr>
          <w:szCs w:val="24"/>
          <w:lang w:eastAsia="fr-FR"/>
        </w:rPr>
        <w:t>.</w:t>
      </w:r>
    </w:p>
    <w:p w:rsidR="002022AB" w:rsidRPr="002B2F0B" w:rsidRDefault="002022AB" w:rsidP="00075179">
      <w:pPr>
        <w:spacing w:before="120" w:after="120" w:line="360" w:lineRule="auto"/>
        <w:ind w:left="567" w:hanging="567"/>
        <w:rPr>
          <w:szCs w:val="24"/>
          <w:lang w:eastAsia="fr-FR"/>
        </w:rPr>
      </w:pPr>
      <w:r w:rsidRPr="002B2F0B">
        <w:rPr>
          <w:szCs w:val="24"/>
          <w:lang w:eastAsia="fr-FR"/>
        </w:rPr>
        <w:br w:type="page"/>
        <w:t>(4)</w:t>
      </w:r>
      <w:r w:rsidRPr="002B2F0B">
        <w:rPr>
          <w:szCs w:val="24"/>
          <w:lang w:eastAsia="fr-FR"/>
        </w:rPr>
        <w:tab/>
      </w:r>
      <w:r w:rsidRPr="002B2F0B">
        <w:rPr>
          <w:b/>
          <w:i/>
          <w:iCs/>
          <w:szCs w:val="24"/>
          <w:lang w:eastAsia="fr-FR"/>
        </w:rPr>
        <w:t>Dans</w:t>
      </w:r>
      <w:r w:rsidRPr="002B2F0B">
        <w:rPr>
          <w:szCs w:val="24"/>
          <w:lang w:eastAsia="fr-FR"/>
        </w:rPr>
        <w:t xml:space="preserve"> le programme de Stockholm de décembre 2009</w:t>
      </w:r>
      <w:r w:rsidRPr="002B2F0B">
        <w:rPr>
          <w:b/>
          <w:bCs/>
          <w:szCs w:val="24"/>
          <w:vertAlign w:val="superscript"/>
          <w:lang w:eastAsia="fr-FR"/>
        </w:rPr>
        <w:footnoteReference w:id="66"/>
      </w:r>
      <w:r w:rsidRPr="002B2F0B">
        <w:rPr>
          <w:szCs w:val="24"/>
          <w:lang w:eastAsia="fr-FR"/>
        </w:rPr>
        <w:t>, qui fixe les priorités en matière de liberté, de sécurité et de justice pour la période 2010</w:t>
      </w:r>
      <w:r w:rsidRPr="002B2F0B">
        <w:rPr>
          <w:szCs w:val="24"/>
          <w:lang w:eastAsia="fr-FR"/>
        </w:rPr>
        <w:noBreakHyphen/>
        <w:t xml:space="preserve">2014, </w:t>
      </w:r>
      <w:r w:rsidRPr="002B2F0B">
        <w:rPr>
          <w:b/>
          <w:i/>
          <w:iCs/>
          <w:szCs w:val="24"/>
          <w:lang w:eastAsia="fr-FR"/>
        </w:rPr>
        <w:t>le Conseil européen</w:t>
      </w:r>
      <w:r w:rsidRPr="002B2F0B">
        <w:rPr>
          <w:szCs w:val="24"/>
          <w:lang w:eastAsia="fr-FR"/>
        </w:rPr>
        <w:t xml:space="preserve"> a invité la Commission à </w:t>
      </w:r>
      <w:r w:rsidRPr="002B2F0B">
        <w:rPr>
          <w:b/>
          <w:i/>
          <w:iCs/>
          <w:szCs w:val="24"/>
          <w:lang w:eastAsia="fr-FR"/>
        </w:rPr>
        <w:t>évaluer s'il est nécessaire et concrètement envisageable de prévoir, au niveau de l'Union, certaines mesures provisoires, y compris des mesures conservatoires, afin d'empêcher par exemple la disparition d'actifs avant l’exécution d'une créance, et à </w:t>
      </w:r>
      <w:r w:rsidRPr="002B2F0B">
        <w:rPr>
          <w:szCs w:val="24"/>
          <w:lang w:eastAsia="fr-FR"/>
        </w:rPr>
        <w:t>présenter des propositions appropriées afin d'améliorer l'efficacité de l'exécution des décisions de justice au sein de l'Union en ce qui concerne les comptes bancaires et le patrimoine des débiteurs.</w:t>
      </w:r>
    </w:p>
    <w:p w:rsidR="002022AB" w:rsidRPr="002B2F0B" w:rsidRDefault="002022AB" w:rsidP="00075179">
      <w:pPr>
        <w:spacing w:before="120" w:after="120" w:line="360" w:lineRule="auto"/>
        <w:ind w:left="567" w:hanging="567"/>
        <w:rPr>
          <w:szCs w:val="24"/>
          <w:lang w:eastAsia="fr-FR"/>
        </w:rPr>
      </w:pPr>
      <w:r w:rsidRPr="002B2F0B">
        <w:rPr>
          <w:szCs w:val="24"/>
          <w:lang w:eastAsia="fr-FR"/>
        </w:rPr>
        <w:t>▌</w:t>
      </w:r>
    </w:p>
    <w:p w:rsidR="002022AB" w:rsidRPr="002B2F0B" w:rsidRDefault="002022AB" w:rsidP="00075179">
      <w:pPr>
        <w:tabs>
          <w:tab w:val="left" w:pos="851"/>
        </w:tabs>
        <w:spacing w:before="120" w:after="120" w:line="360" w:lineRule="auto"/>
        <w:ind w:left="567" w:hanging="567"/>
        <w:rPr>
          <w:i/>
          <w:iCs/>
          <w:szCs w:val="24"/>
          <w:lang w:eastAsia="fr-FR"/>
        </w:rPr>
      </w:pPr>
      <w:r w:rsidRPr="002B2F0B">
        <w:rPr>
          <w:szCs w:val="24"/>
          <w:lang w:eastAsia="fr-FR"/>
        </w:rPr>
        <w:t>(5)</w:t>
      </w:r>
      <w:r w:rsidRPr="002B2F0B">
        <w:rPr>
          <w:szCs w:val="24"/>
          <w:lang w:eastAsia="fr-FR"/>
        </w:rPr>
        <w:tab/>
        <w:t xml:space="preserve">Des procédures nationales visant à l'obtention de mesures conservatoires, telles que des ordonnances de saisie conservatoire des comptes bancaires, existent dans tous les États membres, mais les conditions d'octroi de </w:t>
      </w:r>
      <w:r w:rsidRPr="002B2F0B">
        <w:rPr>
          <w:b/>
          <w:i/>
          <w:iCs/>
          <w:szCs w:val="24"/>
          <w:lang w:eastAsia="fr-FR"/>
        </w:rPr>
        <w:t>ces</w:t>
      </w:r>
      <w:r w:rsidRPr="002B2F0B">
        <w:rPr>
          <w:szCs w:val="24"/>
          <w:lang w:eastAsia="fr-FR"/>
        </w:rPr>
        <w:t xml:space="preserve"> mesure</w:t>
      </w:r>
      <w:r w:rsidRPr="002B2F0B">
        <w:rPr>
          <w:b/>
          <w:i/>
          <w:iCs/>
          <w:szCs w:val="24"/>
          <w:lang w:eastAsia="fr-FR"/>
        </w:rPr>
        <w:t>s</w:t>
      </w:r>
      <w:r w:rsidRPr="002B2F0B">
        <w:rPr>
          <w:szCs w:val="24"/>
          <w:lang w:eastAsia="fr-FR"/>
        </w:rPr>
        <w:t xml:space="preserve"> et l'efficacité de </w:t>
      </w:r>
      <w:r w:rsidRPr="002B2F0B">
        <w:rPr>
          <w:b/>
          <w:i/>
          <w:iCs/>
          <w:szCs w:val="24"/>
          <w:lang w:eastAsia="fr-FR"/>
        </w:rPr>
        <w:t>leur</w:t>
      </w:r>
      <w:r w:rsidRPr="002B2F0B">
        <w:rPr>
          <w:szCs w:val="24"/>
          <w:lang w:eastAsia="fr-FR"/>
        </w:rPr>
        <w:t xml:space="preserve"> mise en œuvre varient considérablement. Par ailleurs, le recours à des mesures conservatoires nationales </w:t>
      </w:r>
      <w:r w:rsidRPr="002B2F0B">
        <w:rPr>
          <w:b/>
          <w:i/>
          <w:iCs/>
          <w:szCs w:val="24"/>
          <w:lang w:eastAsia="fr-FR"/>
        </w:rPr>
        <w:t>peut s'avérer</w:t>
      </w:r>
      <w:r w:rsidRPr="002B2F0B">
        <w:rPr>
          <w:szCs w:val="24"/>
          <w:lang w:eastAsia="fr-FR"/>
        </w:rPr>
        <w:t xml:space="preserve"> lourd ▌dans les situations ayant une incidence transfrontière, en particulier lorsque le créancier cherche à faire saisir à titre conservatoire plusieurs comptes situés dans des États membres différents. </w:t>
      </w:r>
      <w:r w:rsidRPr="002B2F0B">
        <w:rPr>
          <w:b/>
          <w:i/>
          <w:iCs/>
          <w:szCs w:val="24"/>
          <w:lang w:eastAsia="fr-FR"/>
        </w:rPr>
        <w:t xml:space="preserve">Il semble dès lors nécessaire et opportun d'adopter un instrument juridique de l'Union contraignant et directement applicable qui établisse une nouvelle </w:t>
      </w:r>
      <w:r w:rsidRPr="002B2F0B">
        <w:rPr>
          <w:bCs/>
          <w:szCs w:val="24"/>
          <w:lang w:eastAsia="fr-FR"/>
        </w:rPr>
        <w:t xml:space="preserve">procédure </w:t>
      </w:r>
      <w:r w:rsidRPr="002B2F0B">
        <w:rPr>
          <w:b/>
          <w:bCs/>
          <w:i/>
          <w:szCs w:val="24"/>
          <w:lang w:eastAsia="fr-FR"/>
        </w:rPr>
        <w:t>au niveau de l'Union</w:t>
      </w:r>
      <w:r w:rsidRPr="002B2F0B">
        <w:rPr>
          <w:bCs/>
          <w:szCs w:val="24"/>
          <w:lang w:eastAsia="fr-FR"/>
        </w:rPr>
        <w:t xml:space="preserve"> </w:t>
      </w:r>
      <w:r w:rsidRPr="002B2F0B">
        <w:rPr>
          <w:b/>
          <w:bCs/>
          <w:i/>
          <w:szCs w:val="24"/>
          <w:lang w:eastAsia="fr-FR"/>
        </w:rPr>
        <w:t>permettant, dans des litiges transfrontières,</w:t>
      </w:r>
      <w:r w:rsidRPr="002B2F0B">
        <w:rPr>
          <w:b/>
          <w:i/>
          <w:iCs/>
          <w:szCs w:val="24"/>
          <w:lang w:eastAsia="fr-FR"/>
        </w:rPr>
        <w:t xml:space="preserve"> de procéder, de manière efficace et</w:t>
      </w:r>
      <w:r w:rsidRPr="002B2F0B">
        <w:rPr>
          <w:i/>
          <w:iCs/>
          <w:szCs w:val="24"/>
          <w:lang w:eastAsia="fr-FR"/>
        </w:rPr>
        <w:t xml:space="preserve"> </w:t>
      </w:r>
      <w:r w:rsidRPr="002B2F0B">
        <w:rPr>
          <w:b/>
          <w:bCs/>
          <w:i/>
          <w:iCs/>
          <w:szCs w:val="24"/>
          <w:lang w:eastAsia="fr-FR"/>
        </w:rPr>
        <w:t xml:space="preserve">rapide, à la </w:t>
      </w:r>
      <w:r w:rsidRPr="002B2F0B">
        <w:rPr>
          <w:b/>
          <w:i/>
          <w:iCs/>
          <w:szCs w:val="24"/>
          <w:lang w:eastAsia="fr-FR"/>
        </w:rPr>
        <w:t>saisie conservatoire de fonds détenus sur des comptes bancaires.</w:t>
      </w:r>
    </w:p>
    <w:p w:rsidR="002022AB" w:rsidRPr="002B2F0B" w:rsidRDefault="002022AB" w:rsidP="00075179">
      <w:pPr>
        <w:spacing w:before="120" w:after="120" w:line="360" w:lineRule="auto"/>
        <w:ind w:left="567" w:hanging="567"/>
        <w:rPr>
          <w:i/>
          <w:iCs/>
          <w:szCs w:val="24"/>
          <w:lang w:eastAsia="fr-FR"/>
        </w:rPr>
      </w:pPr>
      <w:r w:rsidRPr="002B2F0B">
        <w:rPr>
          <w:szCs w:val="24"/>
          <w:lang w:eastAsia="fr-FR"/>
        </w:rPr>
        <w:br w:type="page"/>
        <w:t>(6)</w:t>
      </w:r>
      <w:r w:rsidRPr="002B2F0B">
        <w:rPr>
          <w:szCs w:val="24"/>
          <w:lang w:eastAsia="fr-FR"/>
        </w:rPr>
        <w:tab/>
      </w:r>
      <w:r w:rsidRPr="002B2F0B">
        <w:rPr>
          <w:iCs/>
          <w:szCs w:val="24"/>
          <w:lang w:eastAsia="fr-FR"/>
        </w:rPr>
        <w:t>La procédure établie par le présent règlement</w:t>
      </w:r>
      <w:r w:rsidRPr="002B2F0B">
        <w:rPr>
          <w:i/>
          <w:szCs w:val="24"/>
          <w:lang w:eastAsia="fr-FR"/>
        </w:rPr>
        <w:t xml:space="preserve"> </w:t>
      </w:r>
      <w:r w:rsidRPr="002B2F0B">
        <w:rPr>
          <w:iCs/>
          <w:szCs w:val="24"/>
          <w:lang w:eastAsia="fr-FR"/>
        </w:rPr>
        <w:t>devrait</w:t>
      </w:r>
      <w:r w:rsidRPr="002B2F0B">
        <w:rPr>
          <w:i/>
          <w:szCs w:val="24"/>
          <w:lang w:eastAsia="fr-FR"/>
        </w:rPr>
        <w:t xml:space="preserve"> </w:t>
      </w:r>
      <w:r w:rsidRPr="002B2F0B">
        <w:rPr>
          <w:bCs/>
          <w:iCs/>
          <w:szCs w:val="24"/>
          <w:lang w:eastAsia="fr-FR"/>
        </w:rPr>
        <w:t>constituer un moyen</w:t>
      </w:r>
      <w:r w:rsidRPr="002B2F0B">
        <w:rPr>
          <w:b/>
          <w:i/>
          <w:szCs w:val="24"/>
          <w:lang w:eastAsia="fr-FR"/>
        </w:rPr>
        <w:t xml:space="preserve"> supplémentaire et</w:t>
      </w:r>
      <w:r w:rsidRPr="002B2F0B">
        <w:rPr>
          <w:i/>
          <w:szCs w:val="24"/>
          <w:lang w:eastAsia="fr-FR"/>
        </w:rPr>
        <w:t> </w:t>
      </w:r>
      <w:r w:rsidRPr="002B2F0B">
        <w:rPr>
          <w:b/>
          <w:bCs/>
          <w:i/>
          <w:szCs w:val="24"/>
          <w:lang w:eastAsia="fr-FR"/>
        </w:rPr>
        <w:t>facultatif à la disposition du</w:t>
      </w:r>
      <w:r w:rsidRPr="002B2F0B">
        <w:rPr>
          <w:i/>
          <w:szCs w:val="24"/>
          <w:lang w:eastAsia="fr-FR"/>
        </w:rPr>
        <w:t xml:space="preserve"> </w:t>
      </w:r>
      <w:r w:rsidRPr="002B2F0B">
        <w:rPr>
          <w:b/>
          <w:i/>
          <w:szCs w:val="24"/>
          <w:lang w:eastAsia="fr-FR"/>
        </w:rPr>
        <w:t>créancier,</w:t>
      </w:r>
      <w:r w:rsidRPr="002B2F0B">
        <w:rPr>
          <w:i/>
          <w:szCs w:val="24"/>
          <w:lang w:eastAsia="fr-FR"/>
        </w:rPr>
        <w:t xml:space="preserve"> </w:t>
      </w:r>
      <w:r w:rsidRPr="002B2F0B">
        <w:rPr>
          <w:b/>
          <w:i/>
          <w:szCs w:val="24"/>
          <w:lang w:eastAsia="fr-FR"/>
        </w:rPr>
        <w:t>qui conserve la latitude d'avoir recours à toute autre</w:t>
      </w:r>
      <w:r w:rsidRPr="002B2F0B">
        <w:rPr>
          <w:i/>
          <w:szCs w:val="24"/>
          <w:lang w:eastAsia="fr-FR"/>
        </w:rPr>
        <w:t xml:space="preserve"> </w:t>
      </w:r>
      <w:r w:rsidRPr="002B2F0B">
        <w:rPr>
          <w:b/>
          <w:bCs/>
          <w:i/>
          <w:szCs w:val="24"/>
          <w:lang w:eastAsia="fr-FR"/>
        </w:rPr>
        <w:t>procédure pour obtenir une mesure équivalente au titre du droit national</w:t>
      </w:r>
      <w:r w:rsidRPr="002B2F0B">
        <w:rPr>
          <w:szCs w:val="24"/>
          <w:lang w:eastAsia="fr-FR"/>
        </w:rPr>
        <w:t>.</w:t>
      </w:r>
    </w:p>
    <w:p w:rsidR="002022AB" w:rsidRPr="002B2F0B" w:rsidRDefault="002022AB" w:rsidP="00075179">
      <w:pPr>
        <w:spacing w:before="120" w:after="120" w:line="360" w:lineRule="auto"/>
        <w:ind w:left="567" w:hanging="567"/>
        <w:rPr>
          <w:szCs w:val="24"/>
          <w:lang w:eastAsia="fr-FR"/>
        </w:rPr>
      </w:pPr>
      <w:r w:rsidRPr="002B2F0B">
        <w:rPr>
          <w:b/>
          <w:i/>
          <w:iCs/>
          <w:szCs w:val="24"/>
          <w:lang w:eastAsia="fr-FR"/>
        </w:rPr>
        <w:t>(7</w:t>
      </w:r>
      <w:r w:rsidRPr="002B2F0B">
        <w:rPr>
          <w:b/>
          <w:szCs w:val="24"/>
          <w:lang w:eastAsia="fr-FR"/>
        </w:rPr>
        <w:t xml:space="preserve">) </w:t>
      </w:r>
      <w:r w:rsidRPr="002B2F0B">
        <w:rPr>
          <w:b/>
          <w:szCs w:val="24"/>
          <w:lang w:eastAsia="fr-FR"/>
        </w:rPr>
        <w:tab/>
      </w:r>
      <w:r w:rsidRPr="002B2F0B">
        <w:rPr>
          <w:b/>
          <w:bCs/>
          <w:i/>
          <w:szCs w:val="24"/>
          <w:lang w:eastAsia="fr-FR"/>
        </w:rPr>
        <w:t>Un créancier devrait être en mesure d'obtenir une mesure conservatoire sous la forme d'une ordonnance européenne de saisie conservatoire des comptes bancaires (ci</w:t>
      </w:r>
      <w:r w:rsidRPr="002B2F0B">
        <w:rPr>
          <w:b/>
          <w:bCs/>
          <w:i/>
          <w:szCs w:val="24"/>
          <w:lang w:eastAsia="fr-FR"/>
        </w:rPr>
        <w:noBreakHyphen/>
        <w:t>après dénommée "ordonnance de saisie conservatoire" ou "ordonnance") empêchant le transfert ou le retrait de fonds détenus par son débiteur sur un compte bancaire tenu dans un État membre si, à défaut d'une telle mesure, le recouvrement ultérieur de sa créance détenue sur le débiteur risque d'être empêché ou rendu sensiblement plus difficile</w:t>
      </w:r>
      <w:r w:rsidRPr="002B2F0B">
        <w:rPr>
          <w:b/>
          <w:bCs/>
          <w:szCs w:val="24"/>
          <w:lang w:eastAsia="fr-FR"/>
        </w:rPr>
        <w:t>.</w:t>
      </w:r>
      <w:r w:rsidRPr="002B2F0B">
        <w:rPr>
          <w:b/>
          <w:bCs/>
          <w:i/>
          <w:szCs w:val="24"/>
          <w:lang w:eastAsia="fr-FR"/>
        </w:rPr>
        <w:t xml:space="preserve"> La saisie conservatoire de fonds détenus sur le compte du débiteur devrait avoir pour effet d'empêcher non seulement le débiteur lui</w:t>
      </w:r>
      <w:r w:rsidRPr="002B2F0B">
        <w:rPr>
          <w:b/>
          <w:bCs/>
          <w:i/>
          <w:szCs w:val="24"/>
          <w:lang w:eastAsia="fr-FR"/>
        </w:rPr>
        <w:noBreakHyphen/>
        <w:t>même, mais aussi les personnes qu'il a autorisées à effectuer des paiements par le biais de ce compte, par exemple par ordre permanent, par débit direct ou par l'utilisation d'une carte de crédit, d'utiliser les fonds</w:t>
      </w:r>
      <w:r w:rsidRPr="002B2F0B">
        <w:rPr>
          <w:b/>
          <w:i/>
          <w:szCs w:val="24"/>
          <w:lang w:eastAsia="fr-FR"/>
        </w:rPr>
        <w:t>.</w:t>
      </w:r>
    </w:p>
    <w:p w:rsidR="002022AB" w:rsidRPr="002B2F0B" w:rsidRDefault="002022AB" w:rsidP="00075179">
      <w:pPr>
        <w:spacing w:before="120" w:after="120" w:line="360" w:lineRule="auto"/>
        <w:ind w:left="567" w:hanging="567"/>
        <w:rPr>
          <w:b/>
          <w:bCs/>
          <w:i/>
          <w:iCs/>
          <w:szCs w:val="24"/>
          <w:lang w:eastAsia="fr-FR"/>
        </w:rPr>
      </w:pPr>
      <w:r w:rsidRPr="002B2F0B">
        <w:rPr>
          <w:szCs w:val="24"/>
          <w:lang w:eastAsia="fr-FR"/>
        </w:rPr>
        <w:br w:type="page"/>
        <w:t>(8)</w:t>
      </w:r>
      <w:r w:rsidRPr="002B2F0B">
        <w:rPr>
          <w:szCs w:val="24"/>
          <w:lang w:eastAsia="fr-FR"/>
        </w:rPr>
        <w:tab/>
      </w:r>
      <w:r w:rsidRPr="002B2F0B">
        <w:rPr>
          <w:iCs/>
          <w:szCs w:val="24"/>
          <w:lang w:eastAsia="fr-FR"/>
        </w:rPr>
        <w:t>Le champ d'application du présent règlement devrait couvrir toutes les matières civiles et commerciales, à l'exception de certaines matières bien définies. En particulier, le présent règlement ne devrait pas s'appliquer</w:t>
      </w:r>
      <w:r w:rsidRPr="002B2F0B">
        <w:rPr>
          <w:i/>
          <w:szCs w:val="24"/>
          <w:lang w:eastAsia="fr-FR"/>
        </w:rPr>
        <w:t xml:space="preserve"> </w:t>
      </w:r>
      <w:r w:rsidRPr="002B2F0B">
        <w:rPr>
          <w:b/>
          <w:i/>
          <w:szCs w:val="24"/>
          <w:lang w:eastAsia="fr-FR"/>
        </w:rPr>
        <w:t xml:space="preserve">aux créances détenues sur un débiteur </w:t>
      </w:r>
      <w:r w:rsidRPr="002B2F0B">
        <w:rPr>
          <w:szCs w:val="24"/>
          <w:lang w:eastAsia="fr-FR"/>
        </w:rPr>
        <w:t>dans</w:t>
      </w:r>
      <w:r w:rsidRPr="002B2F0B">
        <w:rPr>
          <w:i/>
          <w:szCs w:val="24"/>
          <w:lang w:eastAsia="fr-FR"/>
        </w:rPr>
        <w:t xml:space="preserve"> ▌</w:t>
      </w:r>
      <w:r w:rsidRPr="002B2F0B">
        <w:rPr>
          <w:iCs/>
          <w:szCs w:val="24"/>
          <w:lang w:eastAsia="fr-FR"/>
        </w:rPr>
        <w:t>des procédures d'insolvabilité.</w:t>
      </w:r>
      <w:r w:rsidRPr="002B2F0B">
        <w:rPr>
          <w:i/>
          <w:szCs w:val="24"/>
          <w:lang w:eastAsia="fr-FR"/>
        </w:rPr>
        <w:t xml:space="preserve"> </w:t>
      </w:r>
      <w:r w:rsidRPr="002B2F0B">
        <w:rPr>
          <w:b/>
          <w:i/>
          <w:szCs w:val="24"/>
          <w:lang w:eastAsia="fr-FR"/>
        </w:rPr>
        <w:t>Cela devrait signifier qu'aucune ordonnance de saisie conservatoire ne peut être délivrée à l'encontre du débiteur une fois que des procédures d'insolvabilité telles qu’elles sont définies dans le règlement (CE) n° 1346/2000 du Conseil</w:t>
      </w:r>
      <w:r w:rsidRPr="002B2F0B">
        <w:rPr>
          <w:b/>
          <w:i/>
          <w:szCs w:val="24"/>
          <w:vertAlign w:val="superscript"/>
          <w:lang w:eastAsia="fr-FR"/>
        </w:rPr>
        <w:footnoteReference w:id="67"/>
      </w:r>
      <w:r w:rsidRPr="002B2F0B">
        <w:rPr>
          <w:b/>
          <w:i/>
          <w:szCs w:val="24"/>
          <w:lang w:eastAsia="fr-FR"/>
        </w:rPr>
        <w:t xml:space="preserve"> ont été engagées à son encontre. Par ailleurs, l'exclusion devrait permettre que l'ordonnance de saisie conservatoire soit utilisée afin de garantir le recouvrement des paiements préjudiciables effectués par un tel débiteur à des tiers.</w:t>
      </w:r>
    </w:p>
    <w:p w:rsidR="002022AB" w:rsidRPr="002B2F0B" w:rsidRDefault="002022AB" w:rsidP="00075179">
      <w:pPr>
        <w:spacing w:before="120" w:after="120" w:line="360" w:lineRule="auto"/>
        <w:ind w:left="567" w:hanging="567"/>
        <w:rPr>
          <w:b/>
          <w:bCs/>
          <w:i/>
          <w:iCs/>
          <w:szCs w:val="24"/>
          <w:lang w:eastAsia="fr-FR"/>
        </w:rPr>
      </w:pPr>
      <w:r w:rsidRPr="002B2F0B">
        <w:rPr>
          <w:b/>
          <w:i/>
          <w:iCs/>
          <w:szCs w:val="24"/>
          <w:lang w:eastAsia="fr-FR"/>
        </w:rPr>
        <w:t>(9)</w:t>
      </w:r>
      <w:r w:rsidRPr="002B2F0B">
        <w:rPr>
          <w:i/>
          <w:iCs/>
          <w:szCs w:val="24"/>
          <w:lang w:eastAsia="fr-FR"/>
        </w:rPr>
        <w:t xml:space="preserve"> </w:t>
      </w:r>
      <w:r w:rsidRPr="002B2F0B">
        <w:rPr>
          <w:i/>
          <w:iCs/>
          <w:szCs w:val="24"/>
          <w:lang w:eastAsia="fr-FR"/>
        </w:rPr>
        <w:tab/>
      </w:r>
      <w:r w:rsidRPr="002B2F0B">
        <w:rPr>
          <w:b/>
          <w:i/>
          <w:iCs/>
          <w:szCs w:val="24"/>
          <w:lang w:eastAsia="fr-FR"/>
        </w:rPr>
        <w:t xml:space="preserve">Le présent règlement devrait s'appliquer aux comptes détenus auprès d'établissements de crédit dont l'activité consiste à recevoir du public des dépôts ou d'autres fonds remboursables et à octroyer des crédits pour leur propre compte. </w:t>
      </w:r>
    </w:p>
    <w:p w:rsidR="002022AB" w:rsidRPr="002B2F0B" w:rsidRDefault="002022AB" w:rsidP="00075179">
      <w:pPr>
        <w:spacing w:before="120" w:after="120" w:line="360" w:lineRule="auto"/>
        <w:ind w:left="567" w:hanging="567"/>
        <w:rPr>
          <w:b/>
          <w:bCs/>
          <w:i/>
          <w:iCs/>
          <w:szCs w:val="24"/>
          <w:lang w:eastAsia="fr-FR"/>
        </w:rPr>
      </w:pPr>
      <w:r w:rsidRPr="002B2F0B">
        <w:rPr>
          <w:b/>
          <w:i/>
          <w:iCs/>
          <w:szCs w:val="24"/>
          <w:lang w:eastAsia="fr-FR"/>
        </w:rPr>
        <w:tab/>
        <w:t>Il ne devrait dès lors pas s'appliquer aux institutions financières qui ne reçoivent pas ces dépôts, par exemple les institutions accordant des financements en faveur de projets d'exportation et d'investissement ou de projets dans les pays en développement, ou les établissements qui fournissent des services concernant les marchés financiers.</w:t>
      </w:r>
      <w:r w:rsidRPr="002B2F0B">
        <w:rPr>
          <w:i/>
          <w:iCs/>
          <w:szCs w:val="24"/>
          <w:lang w:eastAsia="fr-FR"/>
        </w:rPr>
        <w:t xml:space="preserve"> </w:t>
      </w:r>
      <w:r w:rsidRPr="002B2F0B">
        <w:rPr>
          <w:b/>
          <w:i/>
          <w:iCs/>
          <w:szCs w:val="24"/>
          <w:lang w:eastAsia="fr-FR"/>
        </w:rPr>
        <w:t>En outre, le présent règlement ne devrait pas s'appliquer aux comptes détenus par les banques centrales ou auprès de celles-ci lorsqu'elles agissent en leur qualité d'autorités monétaires, ni aux comptes qui ne peuvent faire l'objet d'une saisie conservatoire en vertu d'une ordonnance nationale équivalente à l'ordonnance de saisie conservatoire ou qui ne peuvent autrement faire l'objet d'une saisie au titre du droit de l'État membre dans lequel le compte concerné est tenu.</w:t>
      </w:r>
    </w:p>
    <w:p w:rsidR="002022AB" w:rsidRPr="002B2F0B" w:rsidRDefault="002022AB" w:rsidP="00075179">
      <w:pPr>
        <w:spacing w:before="120" w:after="120" w:line="360" w:lineRule="auto"/>
        <w:ind w:left="567" w:hanging="567"/>
        <w:rPr>
          <w:b/>
          <w:bCs/>
          <w:i/>
          <w:iCs/>
          <w:szCs w:val="24"/>
          <w:lang w:eastAsia="fr-FR"/>
        </w:rPr>
      </w:pPr>
      <w:r w:rsidRPr="002B2F0B">
        <w:rPr>
          <w:szCs w:val="24"/>
          <w:lang w:eastAsia="fr-FR"/>
        </w:rPr>
        <w:br w:type="page"/>
      </w:r>
      <w:r w:rsidRPr="002B2F0B">
        <w:rPr>
          <w:b/>
          <w:i/>
          <w:szCs w:val="24"/>
          <w:lang w:eastAsia="fr-FR"/>
        </w:rPr>
        <w:t xml:space="preserve">(10) </w:t>
      </w:r>
      <w:r w:rsidRPr="002B2F0B">
        <w:rPr>
          <w:b/>
          <w:i/>
          <w:szCs w:val="24"/>
          <w:lang w:eastAsia="fr-FR"/>
        </w:rPr>
        <w:tab/>
        <w:t xml:space="preserve">Le présent règlement ne devrait s'appliquer qu'aux litiges transfrontières et devrait définir la notion de litige transfrontière dans ce contexte particulier. </w:t>
      </w:r>
      <w:r w:rsidRPr="002B2F0B">
        <w:rPr>
          <w:b/>
          <w:i/>
          <w:iCs/>
          <w:szCs w:val="24"/>
          <w:lang w:eastAsia="fr-FR"/>
        </w:rPr>
        <w:t>Aux fins du présent règlement,</w:t>
      </w:r>
      <w:r w:rsidRPr="002B2F0B">
        <w:rPr>
          <w:i/>
          <w:iCs/>
          <w:szCs w:val="24"/>
          <w:lang w:eastAsia="fr-FR"/>
        </w:rPr>
        <w:t xml:space="preserve"> </w:t>
      </w:r>
      <w:r w:rsidRPr="002B2F0B">
        <w:rPr>
          <w:b/>
          <w:i/>
          <w:iCs/>
          <w:szCs w:val="24"/>
          <w:lang w:eastAsia="fr-FR"/>
        </w:rPr>
        <w:t xml:space="preserve">il convient de considérer qu'il existe un litige transfrontière lorsque la juridiction qui traite de la demande d'ordonnance de saisie conservatoire est située dans un État membre et que le compte bancaire visé par l'ordonnance est tenu dans un autre État membre. Il convient également de considérer qu'il existe un litige transfrontière lorsque le créancier est domicilié dans un État membre et que la juridiction et le compte bancaire devant faire l'objet d'une saisie conservatoire se trouvent dans un autre État membre. </w:t>
      </w:r>
    </w:p>
    <w:p w:rsidR="002022AB" w:rsidRPr="002B2F0B" w:rsidRDefault="002022AB" w:rsidP="00075179">
      <w:pPr>
        <w:spacing w:before="120" w:after="120" w:line="360" w:lineRule="auto"/>
        <w:ind w:left="567"/>
        <w:rPr>
          <w:b/>
          <w:bCs/>
          <w:i/>
          <w:iCs/>
          <w:szCs w:val="24"/>
          <w:lang w:eastAsia="fr-FR"/>
        </w:rPr>
      </w:pPr>
      <w:r w:rsidRPr="002B2F0B">
        <w:rPr>
          <w:b/>
          <w:i/>
          <w:szCs w:val="24"/>
          <w:lang w:eastAsia="fr-FR"/>
        </w:rPr>
        <w:t>Le présent règlement ne devrait pas s'appliquer à la saisie conservatoire de comptes tenus dans l'État membre où se trouve la juridiction saisie de la demande d'ordonnance de saisie conservatoire si le domicile du créancier est également situé dans cet État membre, même si le créancier demande en même temps une ordonnance de saisie conservatoire pour un ou des comptes tenus dans un autre État membre. Dans ce cas, le créancier devrait introduire deux demandes distinctes, une demande d'ordonnance de saisie conservatoire et une demande visant à l'obtention d'une mesure nationale.</w:t>
      </w:r>
    </w:p>
    <w:p w:rsidR="002022AB" w:rsidRPr="002B2F0B" w:rsidRDefault="002022AB" w:rsidP="00075179">
      <w:pPr>
        <w:spacing w:before="120" w:after="120" w:line="360" w:lineRule="auto"/>
        <w:ind w:left="567" w:hanging="567"/>
        <w:rPr>
          <w:szCs w:val="24"/>
          <w:lang w:eastAsia="fr-FR"/>
        </w:rPr>
      </w:pPr>
      <w:r w:rsidRPr="002B2F0B">
        <w:rPr>
          <w:szCs w:val="24"/>
          <w:lang w:eastAsia="fr-FR"/>
        </w:rPr>
        <w:t>(11)</w:t>
      </w:r>
      <w:r w:rsidRPr="002B2F0B">
        <w:rPr>
          <w:szCs w:val="24"/>
          <w:lang w:eastAsia="fr-FR"/>
        </w:rPr>
        <w:tab/>
        <w:t xml:space="preserve">La procédure </w:t>
      </w:r>
      <w:r w:rsidRPr="002B2F0B">
        <w:rPr>
          <w:b/>
          <w:i/>
          <w:iCs/>
          <w:szCs w:val="24"/>
          <w:lang w:eastAsia="fr-FR"/>
        </w:rPr>
        <w:t>d’obtention d’une ordonnance de saisie conservatoire</w:t>
      </w:r>
      <w:r w:rsidRPr="002B2F0B">
        <w:rPr>
          <w:b/>
          <w:szCs w:val="24"/>
          <w:lang w:eastAsia="fr-FR"/>
        </w:rPr>
        <w:t xml:space="preserve"> </w:t>
      </w:r>
      <w:r w:rsidRPr="002B2F0B">
        <w:rPr>
          <w:szCs w:val="24"/>
          <w:lang w:eastAsia="fr-FR"/>
        </w:rPr>
        <w:t xml:space="preserve">devrait être accessible à tout </w:t>
      </w:r>
      <w:r w:rsidRPr="002B2F0B">
        <w:rPr>
          <w:b/>
          <w:i/>
          <w:iCs/>
          <w:szCs w:val="24"/>
          <w:lang w:eastAsia="fr-FR"/>
        </w:rPr>
        <w:t>créancier</w:t>
      </w:r>
      <w:r w:rsidRPr="002B2F0B">
        <w:rPr>
          <w:b/>
          <w:szCs w:val="24"/>
          <w:lang w:eastAsia="fr-FR"/>
        </w:rPr>
        <w:t xml:space="preserve"> </w:t>
      </w:r>
      <w:r w:rsidRPr="002B2F0B">
        <w:rPr>
          <w:szCs w:val="24"/>
          <w:lang w:eastAsia="fr-FR"/>
        </w:rPr>
        <w:t xml:space="preserve">souhaitant garantir l'exécution d'une décision ultérieure sur le fond avant d'engager une procédure au fond, et à tout stade de </w:t>
      </w:r>
      <w:r w:rsidRPr="002B2F0B">
        <w:rPr>
          <w:b/>
          <w:i/>
          <w:iCs/>
          <w:szCs w:val="24"/>
          <w:lang w:eastAsia="fr-FR"/>
        </w:rPr>
        <w:t>cette</w:t>
      </w:r>
      <w:r w:rsidRPr="002B2F0B">
        <w:rPr>
          <w:szCs w:val="24"/>
          <w:lang w:eastAsia="fr-FR"/>
        </w:rPr>
        <w:t xml:space="preserve"> procédure. Elle devrait également être accessible à un </w:t>
      </w:r>
      <w:r w:rsidRPr="002B2F0B">
        <w:rPr>
          <w:b/>
          <w:i/>
          <w:iCs/>
          <w:szCs w:val="24"/>
          <w:lang w:eastAsia="fr-FR"/>
        </w:rPr>
        <w:t>créancier</w:t>
      </w:r>
      <w:r w:rsidRPr="002B2F0B">
        <w:rPr>
          <w:szCs w:val="24"/>
          <w:lang w:eastAsia="fr-FR"/>
        </w:rPr>
        <w:t xml:space="preserve"> ayant déjà obtenu une décision judiciaire, </w:t>
      </w:r>
      <w:r w:rsidRPr="002B2F0B">
        <w:rPr>
          <w:b/>
          <w:i/>
          <w:iCs/>
          <w:szCs w:val="24"/>
          <w:lang w:eastAsia="fr-FR"/>
        </w:rPr>
        <w:t>une transaction judiciaire ou un acte authentique exigeant du débiteur le paiement de la créance de ce créancier.</w:t>
      </w:r>
    </w:p>
    <w:p w:rsidR="002022AB" w:rsidRPr="002B2F0B" w:rsidRDefault="002022AB" w:rsidP="00075179">
      <w:pPr>
        <w:spacing w:before="120" w:after="120" w:line="324" w:lineRule="auto"/>
        <w:ind w:left="567" w:hanging="567"/>
        <w:rPr>
          <w:b/>
          <w:bCs/>
          <w:i/>
          <w:iCs/>
          <w:szCs w:val="24"/>
          <w:lang w:eastAsia="fr-FR"/>
        </w:rPr>
      </w:pPr>
      <w:r w:rsidRPr="002B2F0B">
        <w:rPr>
          <w:szCs w:val="24"/>
          <w:lang w:eastAsia="fr-FR"/>
        </w:rPr>
        <w:br w:type="page"/>
      </w:r>
      <w:r w:rsidRPr="002B2F0B">
        <w:rPr>
          <w:b/>
          <w:i/>
          <w:iCs/>
          <w:szCs w:val="24"/>
          <w:lang w:eastAsia="fr-FR"/>
        </w:rPr>
        <w:t>(12</w:t>
      </w:r>
      <w:r w:rsidRPr="002B2F0B">
        <w:rPr>
          <w:b/>
          <w:szCs w:val="24"/>
          <w:lang w:eastAsia="fr-FR"/>
        </w:rPr>
        <w:t xml:space="preserve">) </w:t>
      </w:r>
      <w:r w:rsidRPr="002B2F0B">
        <w:rPr>
          <w:b/>
          <w:szCs w:val="24"/>
          <w:lang w:eastAsia="fr-FR"/>
        </w:rPr>
        <w:tab/>
      </w:r>
      <w:r w:rsidRPr="002B2F0B">
        <w:rPr>
          <w:b/>
          <w:i/>
          <w:szCs w:val="24"/>
          <w:lang w:eastAsia="fr-FR"/>
        </w:rPr>
        <w:t xml:space="preserve">Il devrait être possible de recourir à une ordonnance de saisie conservatoire aux fins de garantir des créances déjà exigibles. Cela devrait également être possible pour des créances qui ne sont pas encore exigibles pour autant que ces créances résultent d'une transaction ou d'un événement passé et que leur montant puisse être déterminé, y compris les créances liées à des actions en matière délictuelle ou quasi délictuelle et à des actions civiles en réparation de dommage ou en restitution fondées sur une infraction. </w:t>
      </w:r>
    </w:p>
    <w:p w:rsidR="002022AB" w:rsidRPr="002B2F0B" w:rsidRDefault="002022AB" w:rsidP="00075179">
      <w:pPr>
        <w:spacing w:before="120" w:after="120" w:line="324" w:lineRule="auto"/>
        <w:ind w:left="567"/>
        <w:rPr>
          <w:b/>
          <w:bCs/>
          <w:i/>
          <w:iCs/>
          <w:szCs w:val="24"/>
          <w:lang w:eastAsia="fr-FR"/>
        </w:rPr>
      </w:pPr>
      <w:r w:rsidRPr="002B2F0B">
        <w:rPr>
          <w:b/>
          <w:i/>
          <w:iCs/>
          <w:szCs w:val="24"/>
          <w:lang w:eastAsia="fr-FR"/>
        </w:rPr>
        <w:t>Le créancier devrait pouvoir demander que l'ordonnance de saisie conservatoire soit délivrée pour le montant du principal de la créance ou pour un montant inférieur à celui</w:t>
      </w:r>
      <w:r w:rsidRPr="002B2F0B">
        <w:rPr>
          <w:b/>
          <w:i/>
          <w:iCs/>
          <w:szCs w:val="24"/>
          <w:lang w:eastAsia="fr-FR"/>
        </w:rPr>
        <w:noBreakHyphen/>
        <w:t>ci. Cette dernière possibilité pourrait être intéressante pour lui, par exemple, dans les cas où il a déjà obtenu une autre garantie pour une partie de sa créance.</w:t>
      </w:r>
    </w:p>
    <w:p w:rsidR="002022AB" w:rsidRPr="002B2F0B" w:rsidRDefault="002022AB" w:rsidP="00075179">
      <w:pPr>
        <w:spacing w:before="120" w:after="120" w:line="324" w:lineRule="auto"/>
        <w:ind w:left="567" w:hanging="567"/>
        <w:rPr>
          <w:i/>
          <w:iCs/>
          <w:szCs w:val="24"/>
          <w:lang w:eastAsia="fr-FR"/>
        </w:rPr>
      </w:pPr>
      <w:r w:rsidRPr="002B2F0B">
        <w:rPr>
          <w:szCs w:val="24"/>
          <w:lang w:eastAsia="fr-FR"/>
        </w:rPr>
        <w:t>(13)</w:t>
      </w:r>
      <w:r w:rsidRPr="002B2F0B">
        <w:rPr>
          <w:szCs w:val="24"/>
          <w:lang w:eastAsia="fr-FR"/>
        </w:rPr>
        <w:tab/>
      </w:r>
      <w:r w:rsidRPr="002B2F0B">
        <w:rPr>
          <w:iCs/>
          <w:szCs w:val="24"/>
          <w:lang w:eastAsia="fr-FR"/>
        </w:rPr>
        <w:t>En vue d'assurer ▌un lien de rattachement étroit entre</w:t>
      </w:r>
      <w:r w:rsidRPr="002B2F0B">
        <w:rPr>
          <w:i/>
          <w:szCs w:val="24"/>
          <w:lang w:eastAsia="fr-FR"/>
        </w:rPr>
        <w:t xml:space="preserve"> </w:t>
      </w:r>
      <w:r w:rsidRPr="002B2F0B">
        <w:rPr>
          <w:b/>
          <w:i/>
          <w:szCs w:val="24"/>
          <w:lang w:eastAsia="fr-FR"/>
        </w:rPr>
        <w:t>la procédure d’obtention d'</w:t>
      </w:r>
      <w:r w:rsidRPr="002B2F0B">
        <w:rPr>
          <w:b/>
          <w:bCs/>
          <w:i/>
          <w:szCs w:val="24"/>
          <w:lang w:eastAsia="fr-FR"/>
        </w:rPr>
        <w:t>une</w:t>
      </w:r>
      <w:r w:rsidRPr="002B2F0B">
        <w:rPr>
          <w:i/>
          <w:szCs w:val="24"/>
          <w:lang w:eastAsia="fr-FR"/>
        </w:rPr>
        <w:t xml:space="preserve"> </w:t>
      </w:r>
      <w:r w:rsidRPr="002B2F0B">
        <w:rPr>
          <w:b/>
          <w:i/>
          <w:szCs w:val="24"/>
          <w:lang w:eastAsia="fr-FR"/>
        </w:rPr>
        <w:t>ordonnance de saisie conservatoire et la procédure au fond</w:t>
      </w:r>
      <w:r w:rsidRPr="002B2F0B">
        <w:rPr>
          <w:iCs/>
          <w:szCs w:val="24"/>
          <w:lang w:eastAsia="fr-FR"/>
        </w:rPr>
        <w:t>, la compétence</w:t>
      </w:r>
      <w:r w:rsidRPr="002B2F0B">
        <w:rPr>
          <w:i/>
          <w:szCs w:val="24"/>
          <w:lang w:eastAsia="fr-FR"/>
        </w:rPr>
        <w:t xml:space="preserve"> </w:t>
      </w:r>
      <w:r w:rsidRPr="002B2F0B">
        <w:rPr>
          <w:b/>
          <w:i/>
          <w:szCs w:val="24"/>
          <w:lang w:eastAsia="fr-FR"/>
        </w:rPr>
        <w:t>internationale</w:t>
      </w:r>
      <w:r w:rsidRPr="002B2F0B">
        <w:rPr>
          <w:i/>
          <w:szCs w:val="24"/>
          <w:lang w:eastAsia="fr-FR"/>
        </w:rPr>
        <w:t xml:space="preserve"> </w:t>
      </w:r>
      <w:r w:rsidRPr="002B2F0B">
        <w:rPr>
          <w:bCs/>
          <w:iCs/>
          <w:szCs w:val="24"/>
          <w:lang w:eastAsia="fr-FR"/>
        </w:rPr>
        <w:t>pour délivrer</w:t>
      </w:r>
      <w:r w:rsidRPr="002B2F0B">
        <w:rPr>
          <w:i/>
          <w:szCs w:val="24"/>
          <w:lang w:eastAsia="fr-FR"/>
        </w:rPr>
        <w:t xml:space="preserve"> </w:t>
      </w:r>
      <w:r w:rsidRPr="002B2F0B">
        <w:rPr>
          <w:iCs/>
          <w:szCs w:val="24"/>
          <w:lang w:eastAsia="fr-FR"/>
        </w:rPr>
        <w:t>l'ordonnance devrait appartenir aux juridictions</w:t>
      </w:r>
      <w:r w:rsidRPr="002B2F0B">
        <w:rPr>
          <w:i/>
          <w:szCs w:val="24"/>
          <w:lang w:eastAsia="fr-FR"/>
        </w:rPr>
        <w:t xml:space="preserve"> </w:t>
      </w:r>
      <w:r w:rsidRPr="002B2F0B">
        <w:rPr>
          <w:b/>
          <w:i/>
          <w:szCs w:val="24"/>
          <w:lang w:eastAsia="fr-FR"/>
        </w:rPr>
        <w:t>de l'État membre dont</w:t>
      </w:r>
      <w:r w:rsidRPr="002B2F0B">
        <w:rPr>
          <w:i/>
          <w:szCs w:val="24"/>
          <w:lang w:eastAsia="fr-FR"/>
        </w:rPr>
        <w:t xml:space="preserve"> </w:t>
      </w:r>
      <w:r w:rsidRPr="002B2F0B">
        <w:rPr>
          <w:b/>
          <w:bCs/>
          <w:i/>
          <w:szCs w:val="24"/>
          <w:lang w:eastAsia="fr-FR"/>
        </w:rPr>
        <w:t>les juridictions</w:t>
      </w:r>
      <w:r w:rsidRPr="002B2F0B">
        <w:rPr>
          <w:i/>
          <w:szCs w:val="24"/>
          <w:lang w:eastAsia="fr-FR"/>
        </w:rPr>
        <w:t xml:space="preserve"> </w:t>
      </w:r>
      <w:r w:rsidRPr="002B2F0B">
        <w:rPr>
          <w:b/>
          <w:i/>
          <w:szCs w:val="24"/>
          <w:lang w:eastAsia="fr-FR"/>
        </w:rPr>
        <w:t>sont</w:t>
      </w:r>
      <w:r w:rsidRPr="002B2F0B">
        <w:rPr>
          <w:i/>
          <w:szCs w:val="24"/>
          <w:lang w:eastAsia="fr-FR"/>
        </w:rPr>
        <w:t xml:space="preserve"> </w:t>
      </w:r>
      <w:r w:rsidRPr="002B2F0B">
        <w:rPr>
          <w:iCs/>
          <w:szCs w:val="24"/>
          <w:lang w:eastAsia="fr-FR"/>
        </w:rPr>
        <w:t>compétentes pour statuer au fond</w:t>
      </w:r>
      <w:r w:rsidRPr="002B2F0B">
        <w:rPr>
          <w:bCs/>
          <w:szCs w:val="24"/>
          <w:lang w:eastAsia="fr-FR"/>
        </w:rPr>
        <w:t>.</w:t>
      </w:r>
      <w:r w:rsidRPr="002B2F0B">
        <w:rPr>
          <w:b/>
          <w:szCs w:val="24"/>
          <w:lang w:eastAsia="fr-FR"/>
        </w:rPr>
        <w:t xml:space="preserve"> </w:t>
      </w:r>
      <w:r w:rsidRPr="002B2F0B">
        <w:rPr>
          <w:b/>
          <w:i/>
          <w:iCs/>
          <w:szCs w:val="24"/>
          <w:lang w:eastAsia="fr-FR"/>
        </w:rPr>
        <w:t>Aux fins du présent règlement, la notion de procédure au fond devrait englober toute procédure visant à obtenir un titre exécutoire portant sur la créance sous</w:t>
      </w:r>
      <w:r w:rsidRPr="002B2F0B">
        <w:rPr>
          <w:b/>
          <w:i/>
          <w:iCs/>
          <w:szCs w:val="24"/>
          <w:lang w:eastAsia="fr-FR"/>
        </w:rPr>
        <w:noBreakHyphen/>
        <w:t>jacente, y compris, par exemple, des procédures sommaires d’injonctions de payer et des procédures telles que la procédure de référé qui existe en France.</w:t>
      </w:r>
      <w:r w:rsidRPr="002B2F0B">
        <w:rPr>
          <w:i/>
          <w:iCs/>
          <w:szCs w:val="24"/>
          <w:lang w:eastAsia="fr-FR"/>
        </w:rPr>
        <w:t xml:space="preserve"> </w:t>
      </w:r>
      <w:r w:rsidRPr="002B2F0B">
        <w:rPr>
          <w:b/>
          <w:i/>
          <w:iCs/>
          <w:szCs w:val="24"/>
          <w:lang w:eastAsia="fr-FR"/>
        </w:rPr>
        <w:t>Si le débiteur est un consommateur domicilié dans un État membre, la compétence pour délivrer l'ordonnance devrait appartenir uniquement aux juridictions de cet État membre.</w:t>
      </w:r>
    </w:p>
    <w:p w:rsidR="002022AB" w:rsidRPr="002B2F0B" w:rsidRDefault="002022AB" w:rsidP="00075179">
      <w:pPr>
        <w:spacing w:before="120" w:after="120" w:line="324" w:lineRule="auto"/>
        <w:ind w:left="567" w:hanging="567"/>
        <w:rPr>
          <w:i/>
          <w:iCs/>
          <w:szCs w:val="24"/>
          <w:lang w:eastAsia="fr-FR"/>
        </w:rPr>
      </w:pPr>
      <w:r w:rsidRPr="002B2F0B">
        <w:rPr>
          <w:szCs w:val="24"/>
          <w:lang w:eastAsia="fr-FR"/>
        </w:rPr>
        <w:br w:type="page"/>
        <w:t>(14)</w:t>
      </w:r>
      <w:r w:rsidRPr="002B2F0B">
        <w:rPr>
          <w:b/>
          <w:bCs/>
          <w:szCs w:val="24"/>
          <w:lang w:eastAsia="fr-FR"/>
        </w:rPr>
        <w:tab/>
      </w:r>
      <w:r w:rsidRPr="002B2F0B">
        <w:rPr>
          <w:iCs/>
          <w:szCs w:val="24"/>
          <w:lang w:eastAsia="fr-FR"/>
        </w:rPr>
        <w:t xml:space="preserve">Les conditions de délivrance de l'ordonnance </w:t>
      </w:r>
      <w:r w:rsidRPr="002B2F0B">
        <w:rPr>
          <w:bCs/>
          <w:iCs/>
          <w:szCs w:val="24"/>
          <w:lang w:eastAsia="fr-FR"/>
        </w:rPr>
        <w:t>de saisie conservatoire</w:t>
      </w:r>
      <w:r w:rsidRPr="002B2F0B">
        <w:rPr>
          <w:iCs/>
          <w:szCs w:val="24"/>
          <w:lang w:eastAsia="fr-FR"/>
        </w:rPr>
        <w:t xml:space="preserve"> devraient établir un juste équilibre entre </w:t>
      </w:r>
      <w:r w:rsidRPr="002B2F0B">
        <w:rPr>
          <w:b/>
          <w:bCs/>
          <w:i/>
          <w:szCs w:val="24"/>
          <w:lang w:eastAsia="fr-FR"/>
        </w:rPr>
        <w:t>l'intérêt</w:t>
      </w:r>
      <w:r w:rsidRPr="002B2F0B">
        <w:rPr>
          <w:iCs/>
          <w:szCs w:val="24"/>
          <w:lang w:eastAsia="fr-FR"/>
        </w:rPr>
        <w:t xml:space="preserve"> du créancier à obtenir une ordonnance et </w:t>
      </w:r>
      <w:r w:rsidRPr="002B2F0B">
        <w:rPr>
          <w:b/>
          <w:bCs/>
          <w:i/>
          <w:szCs w:val="24"/>
          <w:lang w:eastAsia="fr-FR"/>
        </w:rPr>
        <w:t>l'intérêt</w:t>
      </w:r>
      <w:r w:rsidRPr="002B2F0B">
        <w:rPr>
          <w:iCs/>
          <w:szCs w:val="24"/>
          <w:lang w:eastAsia="fr-FR"/>
        </w:rPr>
        <w:t xml:space="preserve"> du débiteur à éviter tout recours abusif à l'ordonnance.</w:t>
      </w:r>
    </w:p>
    <w:p w:rsidR="002022AB" w:rsidRPr="002B2F0B" w:rsidRDefault="002022AB" w:rsidP="00075179">
      <w:pPr>
        <w:spacing w:before="120" w:after="120" w:line="324" w:lineRule="auto"/>
        <w:ind w:left="567"/>
        <w:rPr>
          <w:szCs w:val="24"/>
          <w:lang w:eastAsia="fr-FR"/>
        </w:rPr>
      </w:pPr>
      <w:r w:rsidRPr="002B2F0B">
        <w:rPr>
          <w:iCs/>
          <w:szCs w:val="24"/>
          <w:lang w:eastAsia="fr-FR"/>
        </w:rPr>
        <w:t>En conséquence,</w:t>
      </w:r>
      <w:r w:rsidRPr="002B2F0B">
        <w:rPr>
          <w:i/>
          <w:szCs w:val="24"/>
          <w:lang w:eastAsia="fr-FR"/>
        </w:rPr>
        <w:t xml:space="preserve"> </w:t>
      </w:r>
      <w:r w:rsidRPr="002B2F0B">
        <w:rPr>
          <w:b/>
          <w:i/>
          <w:szCs w:val="24"/>
          <w:lang w:eastAsia="fr-FR"/>
        </w:rPr>
        <w:t>lorsque le créancier demande une ordonnance de saisie conservatoire</w:t>
      </w:r>
      <w:r w:rsidRPr="002B2F0B">
        <w:rPr>
          <w:i/>
          <w:szCs w:val="24"/>
          <w:lang w:eastAsia="fr-FR"/>
        </w:rPr>
        <w:t xml:space="preserve"> </w:t>
      </w:r>
      <w:r w:rsidRPr="002B2F0B">
        <w:rPr>
          <w:iCs/>
          <w:szCs w:val="24"/>
          <w:lang w:eastAsia="fr-FR"/>
        </w:rPr>
        <w:t xml:space="preserve">avant </w:t>
      </w:r>
      <w:r w:rsidRPr="002B2F0B">
        <w:rPr>
          <w:b/>
          <w:bCs/>
          <w:i/>
          <w:szCs w:val="24"/>
          <w:lang w:eastAsia="fr-FR"/>
        </w:rPr>
        <w:t>d'avoir obtenu</w:t>
      </w:r>
      <w:r w:rsidRPr="002B2F0B">
        <w:rPr>
          <w:iCs/>
          <w:szCs w:val="24"/>
          <w:lang w:eastAsia="fr-FR"/>
        </w:rPr>
        <w:t xml:space="preserve"> une décision judiciaire▌, la juridiction auprès de </w:t>
      </w:r>
      <w:r w:rsidRPr="002B2F0B">
        <w:rPr>
          <w:b/>
          <w:i/>
          <w:szCs w:val="24"/>
          <w:lang w:eastAsia="fr-FR"/>
        </w:rPr>
        <w:t xml:space="preserve">laquelle la demande est introduite </w:t>
      </w:r>
      <w:r w:rsidRPr="002B2F0B">
        <w:rPr>
          <w:bCs/>
          <w:iCs/>
          <w:szCs w:val="24"/>
          <w:lang w:eastAsia="fr-FR"/>
        </w:rPr>
        <w:t>devrait</w:t>
      </w:r>
      <w:r w:rsidRPr="002B2F0B">
        <w:rPr>
          <w:i/>
          <w:szCs w:val="24"/>
          <w:lang w:eastAsia="fr-FR"/>
        </w:rPr>
        <w:t xml:space="preserve"> </w:t>
      </w:r>
      <w:r w:rsidRPr="002B2F0B">
        <w:rPr>
          <w:iCs/>
          <w:szCs w:val="24"/>
          <w:lang w:eastAsia="fr-FR"/>
        </w:rPr>
        <w:t>être convaincue</w:t>
      </w:r>
      <w:r w:rsidRPr="002B2F0B">
        <w:rPr>
          <w:b/>
          <w:i/>
          <w:szCs w:val="24"/>
          <w:lang w:eastAsia="fr-FR"/>
        </w:rPr>
        <w:t>, sur la base des éléments de preuve fournis par le créancier,</w:t>
      </w:r>
      <w:r w:rsidRPr="002B2F0B">
        <w:rPr>
          <w:i/>
          <w:szCs w:val="24"/>
          <w:lang w:eastAsia="fr-FR"/>
        </w:rPr>
        <w:t xml:space="preserve"> </w:t>
      </w:r>
      <w:r w:rsidRPr="002B2F0B">
        <w:rPr>
          <w:b/>
          <w:i/>
          <w:iCs/>
          <w:szCs w:val="24"/>
          <w:lang w:eastAsia="fr-FR"/>
        </w:rPr>
        <w:t>qu'il sera probablement fait droit à</w:t>
      </w:r>
      <w:r w:rsidRPr="002B2F0B">
        <w:rPr>
          <w:b/>
          <w:i/>
          <w:szCs w:val="24"/>
          <w:lang w:eastAsia="fr-FR"/>
        </w:rPr>
        <w:t xml:space="preserve"> la</w:t>
      </w:r>
      <w:r w:rsidRPr="002B2F0B">
        <w:rPr>
          <w:i/>
          <w:szCs w:val="24"/>
          <w:lang w:eastAsia="fr-FR"/>
        </w:rPr>
        <w:t xml:space="preserve"> </w:t>
      </w:r>
      <w:r w:rsidRPr="002B2F0B">
        <w:rPr>
          <w:b/>
          <w:bCs/>
          <w:i/>
          <w:szCs w:val="24"/>
          <w:lang w:eastAsia="fr-FR"/>
        </w:rPr>
        <w:t xml:space="preserve">demande </w:t>
      </w:r>
      <w:r w:rsidRPr="002B2F0B">
        <w:rPr>
          <w:b/>
          <w:i/>
          <w:szCs w:val="24"/>
          <w:lang w:eastAsia="fr-FR"/>
        </w:rPr>
        <w:t>au fond</w:t>
      </w:r>
      <w:r w:rsidRPr="002B2F0B">
        <w:rPr>
          <w:i/>
          <w:szCs w:val="24"/>
          <w:lang w:eastAsia="fr-FR"/>
        </w:rPr>
        <w:t xml:space="preserve"> </w:t>
      </w:r>
      <w:r w:rsidRPr="002B2F0B">
        <w:rPr>
          <w:b/>
          <w:i/>
          <w:szCs w:val="24"/>
          <w:lang w:eastAsia="fr-FR"/>
        </w:rPr>
        <w:t>du créancier</w:t>
      </w:r>
      <w:r w:rsidRPr="002B2F0B">
        <w:rPr>
          <w:iCs/>
          <w:szCs w:val="24"/>
          <w:lang w:eastAsia="fr-FR"/>
        </w:rPr>
        <w:t xml:space="preserve"> contre le débiteur ▌</w:t>
      </w:r>
      <w:r w:rsidRPr="002B2F0B">
        <w:rPr>
          <w:szCs w:val="24"/>
          <w:lang w:eastAsia="fr-FR"/>
        </w:rPr>
        <w:t>.</w:t>
      </w:r>
    </w:p>
    <w:p w:rsidR="002022AB" w:rsidRPr="002B2F0B" w:rsidRDefault="002022AB" w:rsidP="00075179">
      <w:pPr>
        <w:spacing w:before="120" w:after="120" w:line="336" w:lineRule="auto"/>
        <w:ind w:left="567"/>
        <w:rPr>
          <w:b/>
          <w:i/>
          <w:iCs/>
          <w:szCs w:val="24"/>
          <w:lang w:eastAsia="fr-FR"/>
        </w:rPr>
      </w:pPr>
      <w:r w:rsidRPr="002B2F0B">
        <w:rPr>
          <w:b/>
          <w:i/>
          <w:szCs w:val="24"/>
          <w:lang w:eastAsia="fr-FR"/>
        </w:rPr>
        <w:t xml:space="preserve">En outre, dans tous les cas, y compris lorsqu'il a déjà obtenu une décision judiciaire, le créancier devrait démontrer d'une manière jugée satisfaisante par la juridiction qu'il est urgent que sa créance fasse l'objet d'une protection judiciaire et que, sans l'ordonnance, l'exécution d'une décision judiciaire existante ou future peut être empêchée ou rendue sensiblement plus difficile parce qu'il existe un risque réel que, au moment où le créancier est en mesure d'obtenir l'exécution de la décision judiciaire existante ou d'une décision judiciaire future, le débiteur ait dilapidé, dissimulé ou détruit ses actifs ou les ait cédés sous leur valeur ou dans une mesure inhabituelle ou par un moyen inhabituel. </w:t>
      </w:r>
    </w:p>
    <w:p w:rsidR="002022AB" w:rsidRPr="002B2F0B" w:rsidRDefault="002022AB" w:rsidP="00075179">
      <w:pPr>
        <w:spacing w:before="120" w:after="120" w:line="336" w:lineRule="auto"/>
        <w:ind w:left="567"/>
        <w:rPr>
          <w:b/>
          <w:bCs/>
          <w:i/>
          <w:iCs/>
          <w:szCs w:val="24"/>
          <w:lang w:eastAsia="fr-FR"/>
        </w:rPr>
      </w:pPr>
      <w:r w:rsidRPr="002B2F0B">
        <w:rPr>
          <w:b/>
          <w:i/>
          <w:szCs w:val="24"/>
          <w:lang w:eastAsia="fr-FR"/>
        </w:rPr>
        <w:br w:type="page"/>
        <w:t>La juridiction devrait évaluer les éléments de preuve fournis par le créancier pour justifier l'existence de ce risque. Ceux</w:t>
      </w:r>
      <w:r w:rsidRPr="002B2F0B">
        <w:rPr>
          <w:b/>
          <w:i/>
          <w:szCs w:val="24"/>
          <w:lang w:eastAsia="fr-FR"/>
        </w:rPr>
        <w:noBreakHyphen/>
        <w:t>ci pourraient se rapporter, par exemple, au comportement du débiteur à l'égard de la créance du créancier ou à l'occasion d'un litige antérieur entre les parties, aux antécédents du débiteur en matière de crédit, à la nature des actifs du débiteur et à toute action récente entreprise par le débiteur concernant ses actifs. Lorsqu'elle évalue ces éléments de preuve, la juridiction peut estimer que les retraits effectués sur les comptes ou les dépenses effectuées par le débiteur pour poursuivre l'exercice de ses activités habituelles ou subvenir aux besoins récurrents de sa famille ne sont pas, en eux</w:t>
      </w:r>
      <w:r w:rsidRPr="002B2F0B">
        <w:rPr>
          <w:b/>
          <w:i/>
          <w:szCs w:val="24"/>
          <w:lang w:eastAsia="fr-FR"/>
        </w:rPr>
        <w:noBreakHyphen/>
        <w:t>mêmes, inhabituels. Le simple fait que le débiteur n'ait pas payé la créance, qu'il la conteste ou qu'il ait plusieurs créanciers ne devrait pas être considéré, en soi, comme un élément de preuve suffisant pour justifier la délivrance d'une ordonnance. La situation financière difficile du débiteur ou sa détérioration ne devrait pas non constituer, en soi, une raison suffisante pour délivrer une ordonnance. Toutefois, la juridiction peut prendre en compte ces facteurs dans le cadre de l'évaluation globale de l'existence du risque.</w:t>
      </w:r>
    </w:p>
    <w:p w:rsidR="002022AB" w:rsidRPr="002B2F0B" w:rsidRDefault="002022AB" w:rsidP="00075179">
      <w:pPr>
        <w:spacing w:before="120" w:after="120" w:line="336" w:lineRule="auto"/>
        <w:ind w:left="567" w:hanging="567"/>
        <w:rPr>
          <w:szCs w:val="24"/>
          <w:lang w:eastAsia="fr-FR"/>
        </w:rPr>
      </w:pPr>
      <w:r w:rsidRPr="002B2F0B">
        <w:rPr>
          <w:szCs w:val="24"/>
          <w:lang w:eastAsia="fr-FR"/>
        </w:rPr>
        <w:t>(15)</w:t>
      </w:r>
      <w:r w:rsidRPr="002B2F0B">
        <w:rPr>
          <w:szCs w:val="24"/>
          <w:lang w:eastAsia="fr-FR"/>
        </w:rPr>
        <w:tab/>
      </w:r>
      <w:r w:rsidRPr="002B2F0B">
        <w:rPr>
          <w:iCs/>
          <w:szCs w:val="24"/>
          <w:lang w:eastAsia="fr-FR"/>
        </w:rPr>
        <w:t>Afin de garantir l'effet de surprise de l'ordonnance de saisie conservatoire</w:t>
      </w:r>
      <w:r w:rsidRPr="002B2F0B">
        <w:rPr>
          <w:b/>
          <w:i/>
          <w:szCs w:val="24"/>
          <w:lang w:eastAsia="fr-FR"/>
        </w:rPr>
        <w:t xml:space="preserve"> et afin de garantir que l'ordonnance aide utilement un créancier qui tente de recouvrer des créances auprès d'un débiteur dans des litiges transfrontières</w:t>
      </w:r>
      <w:r w:rsidRPr="002B2F0B">
        <w:rPr>
          <w:bCs/>
          <w:i/>
          <w:szCs w:val="24"/>
          <w:lang w:eastAsia="fr-FR"/>
        </w:rPr>
        <w:t>,</w:t>
      </w:r>
      <w:r w:rsidRPr="002B2F0B">
        <w:rPr>
          <w:iCs/>
          <w:szCs w:val="24"/>
          <w:lang w:eastAsia="fr-FR"/>
        </w:rPr>
        <w:t xml:space="preserve"> le débiteur ne devrait pas être informé de la demande</w:t>
      </w:r>
      <w:r w:rsidRPr="002B2F0B">
        <w:rPr>
          <w:i/>
          <w:szCs w:val="24"/>
          <w:lang w:eastAsia="fr-FR"/>
        </w:rPr>
        <w:t xml:space="preserve"> </w:t>
      </w:r>
      <w:r w:rsidRPr="002B2F0B">
        <w:rPr>
          <w:b/>
          <w:i/>
          <w:szCs w:val="24"/>
          <w:lang w:eastAsia="fr-FR"/>
        </w:rPr>
        <w:t>du créancier</w:t>
      </w:r>
      <w:r w:rsidRPr="002B2F0B">
        <w:rPr>
          <w:bCs/>
          <w:iCs/>
          <w:szCs w:val="24"/>
          <w:lang w:eastAsia="fr-FR"/>
        </w:rPr>
        <w:t>, ni</w:t>
      </w:r>
      <w:r w:rsidRPr="002B2F0B">
        <w:rPr>
          <w:i/>
          <w:szCs w:val="24"/>
          <w:lang w:eastAsia="fr-FR"/>
        </w:rPr>
        <w:t xml:space="preserve"> </w:t>
      </w:r>
      <w:r w:rsidRPr="002B2F0B">
        <w:rPr>
          <w:iCs/>
          <w:szCs w:val="24"/>
          <w:lang w:eastAsia="fr-FR"/>
        </w:rPr>
        <w:t>être entendu avant</w:t>
      </w:r>
      <w:r w:rsidRPr="002B2F0B">
        <w:rPr>
          <w:i/>
          <w:szCs w:val="24"/>
          <w:lang w:eastAsia="fr-FR"/>
        </w:rPr>
        <w:t xml:space="preserve"> </w:t>
      </w:r>
      <w:r w:rsidRPr="002B2F0B">
        <w:rPr>
          <w:bCs/>
          <w:iCs/>
          <w:szCs w:val="24"/>
          <w:lang w:eastAsia="fr-FR"/>
        </w:rPr>
        <w:t>la délivrance de l'ordonnance</w:t>
      </w:r>
      <w:r w:rsidRPr="002B2F0B">
        <w:rPr>
          <w:iCs/>
          <w:szCs w:val="24"/>
          <w:lang w:eastAsia="fr-FR"/>
        </w:rPr>
        <w:t xml:space="preserve">, ni se voir notifier l'ordonnance avant sa mise en œuvre. </w:t>
      </w:r>
      <w:r w:rsidRPr="002B2F0B">
        <w:rPr>
          <w:b/>
          <w:i/>
          <w:szCs w:val="24"/>
          <w:lang w:eastAsia="fr-FR"/>
        </w:rPr>
        <w:t>Lorsque, sur la base des éléments de preuve et des informations fournis par le créancier ou, le cas échéant, par son ou ses témoins, la juridiction n'est pas convaincue que la saisie conservatoire du compte ou des comptes en question se justifie, elle devrait s'abstenir de délivrer l'ordonnance.</w:t>
      </w:r>
    </w:p>
    <w:p w:rsidR="002022AB" w:rsidRPr="002B2F0B" w:rsidRDefault="002022AB" w:rsidP="00075179">
      <w:pPr>
        <w:spacing w:before="120" w:after="120" w:line="360" w:lineRule="auto"/>
        <w:ind w:left="567" w:hanging="567"/>
        <w:rPr>
          <w:b/>
          <w:bCs/>
          <w:i/>
          <w:iCs/>
          <w:szCs w:val="24"/>
          <w:lang w:eastAsia="fr-FR"/>
        </w:rPr>
      </w:pPr>
      <w:r w:rsidRPr="002B2F0B">
        <w:rPr>
          <w:szCs w:val="24"/>
          <w:lang w:eastAsia="fr-FR"/>
        </w:rPr>
        <w:br w:type="page"/>
      </w:r>
      <w:r w:rsidRPr="002B2F0B">
        <w:rPr>
          <w:b/>
          <w:i/>
          <w:iCs/>
          <w:szCs w:val="24"/>
          <w:lang w:eastAsia="fr-FR"/>
        </w:rPr>
        <w:t xml:space="preserve">(16) </w:t>
      </w:r>
      <w:r w:rsidRPr="002B2F0B">
        <w:rPr>
          <w:b/>
          <w:i/>
          <w:iCs/>
          <w:szCs w:val="24"/>
          <w:lang w:eastAsia="fr-FR"/>
        </w:rPr>
        <w:tab/>
        <w:t>Lorsque le créancier demande une ordonnance de saisie conservatoire avant d'engager une procédure au fond auprès d'une juridiction, le présent règlement devrait le contraindre à engager cette procédure dans un délai déterminé et à fournir la preuve que la procédure est engagée à la juridiction auprès de laquelle il a introduit sa demande d'ordonnance. Si le créancier ne respecte pas cette obligation, la juridiction devrait d'office révoquer l'ordonnance ou l'ordonnance devrait automatiquement prendre fin.</w:t>
      </w:r>
    </w:p>
    <w:p w:rsidR="002022AB" w:rsidRPr="002B2F0B" w:rsidRDefault="002022AB" w:rsidP="00075179">
      <w:pPr>
        <w:spacing w:before="120" w:after="120" w:line="360" w:lineRule="auto"/>
        <w:ind w:left="567" w:hanging="567"/>
        <w:rPr>
          <w:szCs w:val="24"/>
          <w:lang w:eastAsia="fr-FR"/>
        </w:rPr>
      </w:pPr>
      <w:r w:rsidRPr="002B2F0B">
        <w:rPr>
          <w:b/>
          <w:bCs/>
          <w:i/>
          <w:iCs/>
          <w:szCs w:val="24"/>
          <w:lang w:eastAsia="fr-FR"/>
        </w:rPr>
        <w:t xml:space="preserve">(17) </w:t>
      </w:r>
      <w:r w:rsidRPr="002B2F0B">
        <w:rPr>
          <w:b/>
          <w:bCs/>
          <w:i/>
          <w:iCs/>
          <w:szCs w:val="24"/>
          <w:lang w:eastAsia="fr-FR"/>
        </w:rPr>
        <w:tab/>
        <w:t>Compte tenu du fait que le débiteur n'est pas préalablement entendu, le présent règlement devrait prévoir des garanties spécifiques afin de prévenir tout recours abusif à l'ordonnance et de protéger les droits du débiteur</w:t>
      </w:r>
      <w:r w:rsidRPr="002B2F0B">
        <w:rPr>
          <w:b/>
          <w:i/>
          <w:szCs w:val="24"/>
          <w:lang w:eastAsia="fr-FR"/>
        </w:rPr>
        <w:t>.</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t xml:space="preserve">(18) </w:t>
      </w:r>
      <w:r w:rsidRPr="002B2F0B">
        <w:rPr>
          <w:b/>
          <w:i/>
          <w:iCs/>
          <w:szCs w:val="24"/>
          <w:lang w:eastAsia="fr-FR"/>
        </w:rPr>
        <w:tab/>
        <w:t>Une de ces garanties importantes devrait consister à pouvoir exiger du créancier qu'il constitue une garantie pour veiller à ce que le débiteur puisse obtenir à un stade ultérieur la réparation de tout préjudice qui lui aurait été causé par l'ordonnance de saisie conservatoire. En fonction des dispositions de droit national, cette garantie pourrait prendre la forme d'un dépôt de garantie ou d'une garantie de substitution, par exemple une garantie bancaire ou une hypothèque. La détermination du montant de garantie suffisant pour prévenir un recours abusif à l'ordonnance et pour veiller à ce que le débiteur puisse obtenir réparation devrait être laissée à la discrétion de la juridiction qui devrait avoir la liberté, en l'absence d'éléments de preuve spécifiques relatifs au montant du préjudice potentiel, de prendre le montant pour lequel l'ordonnance doit être délivrée comme ligne directrice pour déterminer le montant de la garantie.</w:t>
      </w:r>
    </w:p>
    <w:p w:rsidR="002022AB" w:rsidRPr="002B2F0B" w:rsidRDefault="002022AB" w:rsidP="00075179">
      <w:pPr>
        <w:tabs>
          <w:tab w:val="left" w:pos="3119"/>
        </w:tabs>
        <w:spacing w:before="120" w:after="120" w:line="360" w:lineRule="auto"/>
        <w:ind w:left="567"/>
        <w:rPr>
          <w:b/>
          <w:bCs/>
          <w:i/>
          <w:iCs/>
          <w:szCs w:val="24"/>
          <w:lang w:eastAsia="fr-FR"/>
        </w:rPr>
      </w:pPr>
      <w:r w:rsidRPr="002B2F0B">
        <w:rPr>
          <w:szCs w:val="24"/>
          <w:lang w:eastAsia="fr-FR"/>
        </w:rPr>
        <w:br w:type="page"/>
      </w:r>
      <w:r w:rsidRPr="002B2F0B">
        <w:rPr>
          <w:b/>
          <w:i/>
          <w:szCs w:val="24"/>
          <w:lang w:eastAsia="fr-FR"/>
        </w:rPr>
        <w:t>Dans le cas où le créancier n'a pas encore obtenu une décision judiciaire, une transaction judiciaire ou un acte authentique exigeant du débiteur le paiement de la créance du créancier, la constitution d'une garantie devrait être la règle et la juridiction ne devrait en dispenser ou exiger la constitution d'une garantie d'un montant inférieur qu'à titre exceptionnel si elle considère que cette garantie est inappropriée, superflue ou disproportionnée, compte tenu des circonstances de l'espèce. Tel pourrait, par exemple, être le cas lorsque beaucoup d'éléments plaident en faveur du créancier mais que celui</w:t>
      </w:r>
      <w:r w:rsidRPr="002B2F0B">
        <w:rPr>
          <w:b/>
          <w:i/>
          <w:szCs w:val="24"/>
          <w:lang w:eastAsia="fr-FR"/>
        </w:rPr>
        <w:noBreakHyphen/>
        <w:t>ci ne dispose pas de ressources suffisantes pour constituer une garantie, lorsque la créance porte sur des aliments ou le paiement de salaires ou lorsque le montant de la créance est tel que l’ordonnance n'est pas susceptible de causer de préjudice au débiteur, par exemple s'il s'agit d'une petite créance commerciale.</w:t>
      </w:r>
    </w:p>
    <w:p w:rsidR="002022AB" w:rsidRPr="002B2F0B" w:rsidRDefault="002022AB" w:rsidP="00075179">
      <w:pPr>
        <w:spacing w:before="120" w:after="120" w:line="360" w:lineRule="auto"/>
        <w:ind w:left="567"/>
        <w:rPr>
          <w:b/>
          <w:bCs/>
          <w:i/>
          <w:iCs/>
          <w:szCs w:val="24"/>
          <w:lang w:eastAsia="fr-FR"/>
        </w:rPr>
      </w:pPr>
      <w:r w:rsidRPr="002B2F0B">
        <w:rPr>
          <w:b/>
          <w:i/>
          <w:szCs w:val="24"/>
          <w:lang w:eastAsia="fr-FR"/>
        </w:rPr>
        <w:t xml:space="preserve">Dans le cas où le créancier a déjà obtenu une décision judiciaire, une transaction judiciaire ou un acte authentique, l'opportunité de la constitution d'une garantie devrait être laissée à la discrétion de la juridiction. La constitution d'une garantie pourrait, par exemple, être opportune, indépendamment des circonstances exceptionnelles évoquées </w:t>
      </w:r>
      <w:r w:rsidRPr="002B2F0B">
        <w:rPr>
          <w:b/>
          <w:i/>
          <w:sz w:val="22"/>
          <w:szCs w:val="22"/>
          <w:lang w:eastAsia="fr-FR"/>
        </w:rPr>
        <w:t>ci</w:t>
      </w:r>
      <w:r w:rsidRPr="002B2F0B">
        <w:rPr>
          <w:b/>
          <w:i/>
          <w:sz w:val="22"/>
          <w:szCs w:val="22"/>
          <w:lang w:eastAsia="fr-FR"/>
        </w:rPr>
        <w:noBreakHyphen/>
        <w:t>dessus, l</w:t>
      </w:r>
      <w:r w:rsidRPr="002B2F0B">
        <w:rPr>
          <w:b/>
          <w:i/>
          <w:szCs w:val="24"/>
          <w:lang w:eastAsia="fr-FR"/>
        </w:rPr>
        <w:t>orsque la décision judiciaire dont l'ordonnance de saisie conservatoire vise à garantir l'exécution n'est pas encore exécutoire ou n'est exécutoire qu'à titre provisoire parce qu'il a été interjeté appel.</w:t>
      </w:r>
    </w:p>
    <w:p w:rsidR="002022AB" w:rsidRPr="002B2F0B" w:rsidRDefault="002022AB" w:rsidP="00075179">
      <w:pPr>
        <w:spacing w:before="120" w:after="120" w:line="360" w:lineRule="auto"/>
        <w:ind w:left="567" w:hanging="567"/>
        <w:rPr>
          <w:b/>
          <w:bCs/>
          <w:i/>
          <w:iCs/>
          <w:szCs w:val="24"/>
          <w:lang w:eastAsia="fr-FR"/>
        </w:rPr>
      </w:pPr>
      <w:r w:rsidRPr="002B2F0B">
        <w:rPr>
          <w:b/>
          <w:i/>
          <w:iCs/>
          <w:szCs w:val="24"/>
          <w:lang w:eastAsia="fr-FR"/>
        </w:rPr>
        <w:t xml:space="preserve">(19) </w:t>
      </w:r>
      <w:r w:rsidRPr="002B2F0B">
        <w:rPr>
          <w:b/>
          <w:i/>
          <w:iCs/>
          <w:szCs w:val="24"/>
          <w:lang w:eastAsia="fr-FR"/>
        </w:rPr>
        <w:tab/>
        <w:t xml:space="preserve">Une règle relative à la responsabilité du créancier pour tout préjudice causé au débiteur par l'ordonnance de saisie conservatoire devrait constituer un autre élément important pour établir un juste équilibre entre les intérêts du créancier et ceux du débiteur. Le présent règlement devrait dès lors, à titre de norme minimale, prévoir que le créancier est responsable lorsque le préjudice causé au débiteur par l'ordonnance de saisie conservatoire est dû à une faute du créancier. Dans ce contexte, la charge de la preuve devrait incomber au débiteur. En ce qui concerne les motifs de responsabilité précisés dans le présent règlement, il convient de prévoir une règle harmonisée instituant une présomption simple de faute du créancier. </w:t>
      </w:r>
    </w:p>
    <w:p w:rsidR="002022AB" w:rsidRPr="002B2F0B" w:rsidRDefault="002022AB" w:rsidP="00075179">
      <w:pPr>
        <w:spacing w:before="120" w:after="120" w:line="360" w:lineRule="auto"/>
        <w:ind w:left="567"/>
        <w:rPr>
          <w:b/>
          <w:bCs/>
          <w:i/>
          <w:iCs/>
          <w:szCs w:val="24"/>
          <w:lang w:eastAsia="fr-FR"/>
        </w:rPr>
      </w:pPr>
      <w:r w:rsidRPr="002B2F0B">
        <w:rPr>
          <w:szCs w:val="24"/>
          <w:lang w:eastAsia="fr-FR"/>
        </w:rPr>
        <w:br w:type="page"/>
      </w:r>
      <w:r w:rsidRPr="002B2F0B">
        <w:rPr>
          <w:b/>
          <w:i/>
          <w:iCs/>
          <w:szCs w:val="24"/>
          <w:lang w:eastAsia="fr-FR"/>
        </w:rPr>
        <w:t xml:space="preserve">En outre, les États membres devraient pouvoir maintenir ou introduire dans leur droit national des motifs de responsabilité autres que ceux précisés dans le présent règlement. Pour ces autres motifs de responsabilité, les États membres devraient également pouvoir maintenir ou introduire d'autres types de responsabilité, tels que la responsabilité objective. </w:t>
      </w:r>
    </w:p>
    <w:p w:rsidR="002022AB" w:rsidRPr="002B2F0B" w:rsidRDefault="002022AB" w:rsidP="00075179">
      <w:pPr>
        <w:spacing w:before="120" w:after="120" w:line="360" w:lineRule="auto"/>
        <w:ind w:left="567" w:hanging="567"/>
        <w:rPr>
          <w:b/>
          <w:bCs/>
          <w:i/>
          <w:iCs/>
          <w:szCs w:val="24"/>
          <w:lang w:eastAsia="fr-FR"/>
        </w:rPr>
      </w:pPr>
      <w:r w:rsidRPr="002B2F0B">
        <w:rPr>
          <w:b/>
          <w:i/>
          <w:iCs/>
          <w:szCs w:val="24"/>
          <w:lang w:eastAsia="fr-FR"/>
        </w:rPr>
        <w:tab/>
        <w:t>Le présent règlement devrait également prévoir une règle de conflit de lois précisant que la loi applicable à la responsabilité du créancier est celle de l'État membre d'exécution. Lorsqu'il existe plusieurs États membres d'exécution, la loi applicable devrait être celle de l'État membre d'exécution dans lequel le débiteur a sa résidence habituelle. Lorsque le débiteur n'a pas sa résidence habituelle dans l’un ou l’autre des États membres d'exécution, la loi applicable devrait être celle de l'État membre d'exécution ayant les liens les plus étroits avec l'affaire. Pour la détermination des liens les plus étroits, l'importance du montant faisant l'objet d'une saisie conservatoire dans les différents États membres d'exécution pourrait être l'un des facteurs à prendre en compte par la juridiction.</w:t>
      </w:r>
    </w:p>
    <w:p w:rsidR="002022AB" w:rsidRPr="002B2F0B" w:rsidRDefault="002022AB" w:rsidP="00075179">
      <w:pPr>
        <w:spacing w:before="120" w:after="120" w:line="360" w:lineRule="auto"/>
        <w:ind w:left="567" w:hanging="567"/>
        <w:rPr>
          <w:b/>
          <w:i/>
          <w:iCs/>
          <w:szCs w:val="24"/>
          <w:lang w:eastAsia="fr-FR"/>
        </w:rPr>
      </w:pPr>
      <w:r w:rsidRPr="002B2F0B">
        <w:rPr>
          <w:szCs w:val="24"/>
          <w:lang w:eastAsia="fr-FR"/>
        </w:rPr>
        <w:br w:type="page"/>
      </w:r>
      <w:r w:rsidRPr="002B2F0B">
        <w:rPr>
          <w:b/>
          <w:bCs/>
          <w:i/>
          <w:iCs/>
          <w:szCs w:val="24"/>
          <w:lang w:eastAsia="fr-FR"/>
        </w:rPr>
        <w:t>(20)</w:t>
      </w:r>
      <w:r w:rsidRPr="002B2F0B">
        <w:rPr>
          <w:i/>
          <w:iCs/>
          <w:szCs w:val="24"/>
          <w:lang w:eastAsia="fr-FR"/>
        </w:rPr>
        <w:t xml:space="preserve"> </w:t>
      </w:r>
      <w:r w:rsidRPr="002B2F0B">
        <w:rPr>
          <w:i/>
          <w:iCs/>
          <w:szCs w:val="24"/>
          <w:lang w:eastAsia="fr-FR"/>
        </w:rPr>
        <w:tab/>
      </w:r>
      <w:r w:rsidRPr="002B2F0B">
        <w:rPr>
          <w:b/>
          <w:i/>
          <w:iCs/>
          <w:szCs w:val="24"/>
          <w:lang w:eastAsia="fr-FR"/>
        </w:rPr>
        <w:t>Afin de surmonter les difficultés pratiques existantes pour l'obtention des informations sur la localisation du compte bancaire du débiteur dans un contexte transfrontière, il importe que le présent règlement établisse un mécanisme permettant au créancier de demander que les informations nécessaires pour identifier le compte du débiteur soient obtenues par la juridiction, avant la délivrance de l'ordonnance de saisie conservatoire, auprès de l'autorité chargée de l'obtention d'informations désignée de l'État membre dans lequel le créancier croit que le débiteur détient un compte. Eu égard à la nature particulière d'une telle intervention des autorités publiques et d'un tel accès à des données privées, l'accès aux informations relatives aux comptes ne devrait être accordé, en règle générale, que lorsque le créancier a déjà obtenu une décision judiciaire, une transaction judiciaire ou un acte authentique exécutoires. Toutefois, à titre exceptionnel, il devrait être possible pour le créancier de demander des informations relatives aux comptes même si la décision judiciaire, la transaction judiciaire ou l'acte authentique qu'il a obtenu n'est pas encore exécutoire. Une telle demande devrait être possible lorsque le montant devant faire l’objet de la saisie conservatoire est important compte tenu des circonstances pertinentes et que la juridiction est convaincue, sur la base des éléments de preuve fournis par le créancier, qu'il est urgent d'obtenir ces informations relatives aux comptes parce qu'il existe un risque qu'à défaut, le recouvrement ultérieur de la créance détenue sur le débiteur soit susceptible d’être mis en péril et que cela puisse conduire en conséquence à une détérioration importante de la situation financière du créancier.</w:t>
      </w:r>
    </w:p>
    <w:p w:rsidR="002022AB" w:rsidRPr="002B2F0B" w:rsidRDefault="002022AB" w:rsidP="00075179">
      <w:pPr>
        <w:spacing w:before="120" w:after="120" w:line="324" w:lineRule="auto"/>
        <w:ind w:left="567" w:hanging="567"/>
        <w:rPr>
          <w:b/>
          <w:i/>
          <w:iCs/>
          <w:szCs w:val="24"/>
          <w:lang w:eastAsia="fr-FR"/>
        </w:rPr>
      </w:pPr>
      <w:r w:rsidRPr="002B2F0B">
        <w:rPr>
          <w:b/>
          <w:i/>
          <w:iCs/>
          <w:szCs w:val="24"/>
          <w:lang w:eastAsia="fr-FR"/>
        </w:rPr>
        <w:br w:type="page"/>
      </w:r>
      <w:r w:rsidRPr="002B2F0B">
        <w:rPr>
          <w:b/>
          <w:i/>
          <w:iCs/>
          <w:szCs w:val="24"/>
          <w:lang w:eastAsia="fr-FR"/>
        </w:rPr>
        <w:tab/>
        <w:t>Pour que ce mécanisme puisse fonctionner, les États membres devraient prévoir dans leur droit national une ou plusieurs méthodes pour obtenir de telles informations, qui soient efficaces et efficientes et qui ne soient pas disproportionnées en termes de coût et de temps. Ce mécanisme ne devrait s'appliquer que si toutes les conditions et exigences prévues pour la délivrance de l'ordonnance de saisie conservatoire sont remplies et que le créancier a dûment justifié dans sa demande les raisons pour lesquelles il pense que le débiteur détient un ou plusieurs comptes dans un État membre déterminé, par exemple en raison du fait que le débiteur travaille ou exerce une activité professionnelle dans cet État membre ou qu'il y possède des biens.</w:t>
      </w:r>
    </w:p>
    <w:p w:rsidR="002022AB" w:rsidRPr="002B2F0B" w:rsidRDefault="002022AB" w:rsidP="00075179">
      <w:pPr>
        <w:spacing w:before="120" w:after="120" w:line="324" w:lineRule="auto"/>
        <w:ind w:left="567" w:hanging="567"/>
        <w:rPr>
          <w:i/>
          <w:iCs/>
          <w:szCs w:val="24"/>
          <w:lang w:eastAsia="fr-FR"/>
        </w:rPr>
      </w:pPr>
      <w:r w:rsidRPr="002B2F0B">
        <w:rPr>
          <w:b/>
          <w:i/>
          <w:iCs/>
          <w:szCs w:val="24"/>
          <w:lang w:eastAsia="fr-FR"/>
        </w:rPr>
        <w:t xml:space="preserve">(21) </w:t>
      </w:r>
      <w:r w:rsidRPr="002B2F0B">
        <w:rPr>
          <w:b/>
          <w:i/>
          <w:iCs/>
          <w:szCs w:val="24"/>
          <w:lang w:eastAsia="fr-FR"/>
        </w:rPr>
        <w:tab/>
        <w:t>Afin d'assurer la protection des données à caractère personnel concernant le débiteur, les informations obtenues concernant l'identification du ou des comptes bancaires du débiteur ne devraient pas être transmises au créancier. Elles devraient être transmises seulement à la juridiction qui les a demandées et, à titre exceptionnel, à la banque du débiteur, si la banque ou une autre entité responsable de l'exécution de l'ordonnance dans l'État membre d'exécution n'est pas en mesure, sur la base des informations fournies dans l'ordonnance, d'identifier un compte du débiteur, par exemple lorsque plusieurs personnes portant le même nom et ayant la même adresse détiennent des comptes dans la même banque. Lorsque, dans un tel cas, il est indiqué dans l'ordonnance que le ou les numéros du ou des comptes devant faire l'objet de la saisie conservatoire ont été obtenus à la suite d'une demande d'informations, la banque devrait demander ces informations à l'autorité chargée de l'obtention d'informations de l'État membre d'exécution et devrait être en mesure de présenter une telle demande de manière simple et informelle.</w:t>
      </w:r>
    </w:p>
    <w:p w:rsidR="002022AB" w:rsidRPr="002B2F0B" w:rsidRDefault="002022AB" w:rsidP="00075179">
      <w:pPr>
        <w:spacing w:before="120" w:after="120" w:line="312" w:lineRule="auto"/>
        <w:ind w:left="567" w:hanging="567"/>
        <w:rPr>
          <w:b/>
          <w:i/>
          <w:iCs/>
          <w:szCs w:val="24"/>
          <w:lang w:eastAsia="fr-FR"/>
        </w:rPr>
      </w:pPr>
      <w:r w:rsidRPr="002B2F0B">
        <w:rPr>
          <w:i/>
          <w:iCs/>
          <w:szCs w:val="24"/>
          <w:lang w:eastAsia="fr-FR"/>
        </w:rPr>
        <w:br w:type="page"/>
      </w:r>
      <w:r w:rsidRPr="002B2F0B">
        <w:rPr>
          <w:b/>
          <w:i/>
          <w:iCs/>
          <w:szCs w:val="24"/>
          <w:lang w:eastAsia="fr-FR"/>
        </w:rPr>
        <w:t xml:space="preserve">(22) </w:t>
      </w:r>
      <w:r w:rsidRPr="002B2F0B">
        <w:rPr>
          <w:b/>
          <w:i/>
          <w:iCs/>
          <w:szCs w:val="24"/>
          <w:lang w:eastAsia="fr-FR"/>
        </w:rPr>
        <w:tab/>
        <w:t>Le présent règlement devrait accorder au créancier le droit d'interjeter appel contre la décision de refuser la délivrance de l'ordonnance de saisie conservatoire. Ce droit devrait être sans préjudice de la possibilité qu'a le créancier d'introduire une nouvelle demande d'ordonnance de saisie conservatoire sur la base de faits nouveaux ou de nouveaux éléments de preuve.</w:t>
      </w:r>
    </w:p>
    <w:p w:rsidR="002022AB" w:rsidRPr="002B2F0B" w:rsidRDefault="002022AB" w:rsidP="00075179">
      <w:pPr>
        <w:spacing w:before="120" w:after="120" w:line="312" w:lineRule="auto"/>
        <w:ind w:left="567" w:hanging="567"/>
        <w:rPr>
          <w:b/>
          <w:i/>
          <w:iCs/>
          <w:szCs w:val="24"/>
          <w:lang w:eastAsia="fr-FR"/>
        </w:rPr>
      </w:pPr>
      <w:r w:rsidRPr="002B2F0B">
        <w:rPr>
          <w:b/>
          <w:i/>
          <w:iCs/>
          <w:szCs w:val="24"/>
          <w:lang w:eastAsia="fr-FR"/>
        </w:rPr>
        <w:t xml:space="preserve">(23) </w:t>
      </w:r>
      <w:r w:rsidRPr="002B2F0B">
        <w:rPr>
          <w:b/>
          <w:i/>
          <w:iCs/>
          <w:szCs w:val="24"/>
          <w:lang w:eastAsia="fr-FR"/>
        </w:rPr>
        <w:tab/>
        <w:t xml:space="preserve">Les structures prévues pour l'exécution d'une saisie conservatoire de comptes bancaires diffèrent considérablement dans les États membres. Afin d'éviter toute duplication de ces structures dans les États membres et de respecter dans la mesure du possible les procédures nationales, le présent règlement devrait se fonder, en ce qui concerne l'exécution et la mise en œuvre effective de l'ordonnance de saisie conservatoire, sur les méthodes et les structures en place pour l'exécution et la mise en œuvre d'ordonnances équivalentes sur le plan national dans l'État membre dans lequel l'ordonnance doit être exécutée. </w:t>
      </w:r>
    </w:p>
    <w:p w:rsidR="002022AB" w:rsidRPr="002B2F0B" w:rsidRDefault="002022AB" w:rsidP="00075179">
      <w:pPr>
        <w:spacing w:before="120" w:after="120" w:line="312" w:lineRule="auto"/>
        <w:ind w:left="567" w:hanging="567"/>
        <w:rPr>
          <w:b/>
          <w:i/>
          <w:iCs/>
          <w:szCs w:val="24"/>
          <w:lang w:eastAsia="fr-FR"/>
        </w:rPr>
      </w:pPr>
      <w:r w:rsidRPr="002B2F0B">
        <w:rPr>
          <w:b/>
          <w:i/>
          <w:iCs/>
          <w:szCs w:val="24"/>
          <w:lang w:eastAsia="fr-FR"/>
        </w:rPr>
        <w:t xml:space="preserve">(24) </w:t>
      </w:r>
      <w:r w:rsidRPr="002B2F0B">
        <w:rPr>
          <w:b/>
          <w:i/>
          <w:iCs/>
          <w:szCs w:val="24"/>
          <w:lang w:eastAsia="fr-FR"/>
        </w:rPr>
        <w:tab/>
        <w:t>Afin d'assurer une exécution rapide, le présent règlement devrait prévoir une transmission de l'ordonnance de l'État membre d'origine à l'autorité compétente de l'État membre d'exécution par tout moyen approprié garantissant que le contenu des documents transmis est fidèle, conforme et aisément lisible.</w:t>
      </w:r>
    </w:p>
    <w:p w:rsidR="002022AB" w:rsidRPr="002B2F0B" w:rsidRDefault="002022AB" w:rsidP="00075179">
      <w:pPr>
        <w:spacing w:before="120" w:after="120" w:line="312" w:lineRule="auto"/>
        <w:ind w:left="567" w:hanging="567"/>
        <w:rPr>
          <w:b/>
          <w:i/>
          <w:iCs/>
          <w:szCs w:val="24"/>
          <w:lang w:eastAsia="fr-FR"/>
        </w:rPr>
      </w:pPr>
      <w:r w:rsidRPr="002B2F0B">
        <w:rPr>
          <w:b/>
          <w:i/>
          <w:iCs/>
          <w:szCs w:val="24"/>
          <w:lang w:eastAsia="fr-FR"/>
        </w:rPr>
        <w:br w:type="page"/>
        <w:t xml:space="preserve">(25) </w:t>
      </w:r>
      <w:r w:rsidRPr="002B2F0B">
        <w:rPr>
          <w:b/>
          <w:i/>
          <w:iCs/>
          <w:szCs w:val="24"/>
          <w:lang w:eastAsia="fr-FR"/>
        </w:rPr>
        <w:tab/>
        <w:t>Lorsqu'elle reçoit l'ordonnance de saisie conservatoire, l'autorité compétente de l'État membre d'exécution devrait prendre les mesures nécessaires pour faire exécuter l'ordonnance conformément à son droit national, soit en transmettant l'ordonnance reçue à la banque ou à une autre entité responsable de l'exécution de telles ordonnances dans cet État membre soit, lorsque le droit national le prévoit, en ordonnant d’une autre manière à la banque de mettre en œuvre l'ordonnance.</w:t>
      </w:r>
    </w:p>
    <w:p w:rsidR="002022AB" w:rsidRPr="002B2F0B" w:rsidRDefault="002022AB" w:rsidP="00075179">
      <w:pPr>
        <w:spacing w:before="120" w:after="120" w:line="312" w:lineRule="auto"/>
        <w:ind w:left="567" w:hanging="567"/>
        <w:rPr>
          <w:b/>
          <w:i/>
          <w:iCs/>
          <w:szCs w:val="24"/>
          <w:lang w:eastAsia="fr-FR"/>
        </w:rPr>
      </w:pPr>
      <w:r w:rsidRPr="002B2F0B">
        <w:rPr>
          <w:b/>
          <w:i/>
          <w:iCs/>
          <w:szCs w:val="24"/>
          <w:lang w:eastAsia="fr-FR"/>
        </w:rPr>
        <w:t xml:space="preserve">(26) </w:t>
      </w:r>
      <w:r w:rsidRPr="002B2F0B">
        <w:rPr>
          <w:b/>
          <w:i/>
          <w:iCs/>
          <w:szCs w:val="24"/>
          <w:lang w:eastAsia="fr-FR"/>
        </w:rPr>
        <w:tab/>
        <w:t>En fonction de la méthode disponible dans le cadre du droit de l'État membre d'exécution pour des ordonnances équivalentes sur le plan national, l'ordonnance de saisie conservatoire devrait être mise en œuvre par le blocage du montant saisi sur le compte du débiteur ou, lorsque le droit national le prévoit, par le transfert de ce montant vers un compte prévu aux fins de la saisie à titre conservatoire, qui pourrait être un compte tenu par l'autorité d'exécution compétente, la juridiction, la banque auprès de laquelle le débiteur détient son compte ou une banque désignée comme entité de coordination aux fins de la saisie conservatoire dans un cas donné.</w:t>
      </w:r>
    </w:p>
    <w:p w:rsidR="002022AB" w:rsidRPr="002B2F0B" w:rsidRDefault="002022AB" w:rsidP="00075179">
      <w:pPr>
        <w:spacing w:before="120" w:after="120" w:line="312" w:lineRule="auto"/>
        <w:ind w:left="567" w:hanging="567"/>
        <w:rPr>
          <w:b/>
          <w:i/>
          <w:iCs/>
          <w:szCs w:val="24"/>
          <w:lang w:eastAsia="fr-FR"/>
        </w:rPr>
      </w:pPr>
      <w:r w:rsidRPr="002B2F0B">
        <w:rPr>
          <w:b/>
          <w:bCs/>
          <w:i/>
          <w:iCs/>
          <w:szCs w:val="24"/>
          <w:lang w:eastAsia="fr-FR"/>
        </w:rPr>
        <w:t xml:space="preserve">(27) </w:t>
      </w:r>
      <w:r w:rsidRPr="002B2F0B">
        <w:rPr>
          <w:b/>
          <w:bCs/>
          <w:i/>
          <w:iCs/>
          <w:szCs w:val="24"/>
          <w:lang w:eastAsia="fr-FR"/>
        </w:rPr>
        <w:tab/>
        <w:t>Le présent règlement ne devrait pas empêcher que le paiement de frais relatifs à l'exécution de l'ordonnance de saisie conservatoire soit réclamé à l'avance. Cette question devrait relever du droit national de l'État membre dans lequel l'ordonnance doit être exécutée.</w:t>
      </w:r>
    </w:p>
    <w:p w:rsidR="002022AB" w:rsidRPr="002B2F0B" w:rsidRDefault="002022AB" w:rsidP="00075179">
      <w:pPr>
        <w:spacing w:before="120" w:after="120" w:line="360" w:lineRule="auto"/>
        <w:ind w:left="567" w:hanging="567"/>
        <w:rPr>
          <w:b/>
          <w:bCs/>
          <w:i/>
          <w:iCs/>
          <w:szCs w:val="24"/>
          <w:lang w:eastAsia="fr-FR"/>
        </w:rPr>
      </w:pPr>
      <w:r w:rsidRPr="002B2F0B">
        <w:rPr>
          <w:b/>
          <w:bCs/>
          <w:i/>
          <w:iCs/>
          <w:szCs w:val="24"/>
          <w:lang w:eastAsia="fr-FR"/>
        </w:rPr>
        <w:br w:type="page"/>
        <w:t xml:space="preserve">(28) </w:t>
      </w:r>
      <w:r w:rsidRPr="002B2F0B">
        <w:rPr>
          <w:b/>
          <w:bCs/>
          <w:i/>
          <w:iCs/>
          <w:szCs w:val="24"/>
          <w:lang w:eastAsia="fr-FR"/>
        </w:rPr>
        <w:tab/>
        <w:t xml:space="preserve">L'ordonnance de saisie conservatoire devrait avoir le même rang, le cas échéant, qu'une ordonnance équivalente sur le plan national dans l'État membre d'exécution. Si, au titre du droit national, certaines mesures d'exécution ont priorité sur des mesures conservatoires, la même priorité devrait leur être donnée par rapport aux ordonnances de saisie conservatoire au titre du présent règlement. Aux fins du présent règlement, les ordonnances in personam en vigueur dans certains systèmes juridiques nationaux devraient être considérées comme des ordonnances équivalentes sur le plan national. </w:t>
      </w:r>
    </w:p>
    <w:p w:rsidR="002022AB" w:rsidRPr="002B2F0B" w:rsidRDefault="002022AB" w:rsidP="00075179">
      <w:pPr>
        <w:spacing w:before="120" w:after="120" w:line="360" w:lineRule="auto"/>
        <w:ind w:left="567" w:hanging="567"/>
        <w:rPr>
          <w:b/>
          <w:bCs/>
          <w:i/>
          <w:iCs/>
          <w:szCs w:val="24"/>
          <w:lang w:eastAsia="fr-FR"/>
        </w:rPr>
      </w:pPr>
      <w:r w:rsidRPr="002B2F0B">
        <w:rPr>
          <w:b/>
          <w:bCs/>
          <w:i/>
          <w:iCs/>
          <w:szCs w:val="24"/>
          <w:lang w:eastAsia="fr-FR"/>
        </w:rPr>
        <w:t xml:space="preserve">(29) </w:t>
      </w:r>
      <w:r w:rsidRPr="002B2F0B">
        <w:rPr>
          <w:b/>
          <w:bCs/>
          <w:i/>
          <w:iCs/>
          <w:szCs w:val="24"/>
          <w:lang w:eastAsia="fr-FR"/>
        </w:rPr>
        <w:tab/>
        <w:t xml:space="preserve">Le présent règlement devrait prévoir une obligation pour la banque ou toute autre entité responsable de l'exécution de l'ordonnance de saisie conservatoire dans l'État membre d'exécution de déclarer si et, dans l’affirmative, dans quelle mesure l'ordonnance a permis la saisie conservatoire de fonds du débiteur ainsi qu'une obligation pour le créancier d'assurer la libération des fonds faisant l'objet de la saisie conservatoire qui excèdent le montant précisé dans l'ordonnance. </w:t>
      </w:r>
    </w:p>
    <w:p w:rsidR="002022AB" w:rsidRPr="002B2F0B" w:rsidRDefault="002022AB" w:rsidP="00075179">
      <w:pPr>
        <w:spacing w:before="120" w:after="120" w:line="360" w:lineRule="auto"/>
        <w:ind w:left="567" w:hanging="567"/>
        <w:rPr>
          <w:b/>
          <w:bCs/>
          <w:i/>
          <w:iCs/>
          <w:szCs w:val="24"/>
          <w:lang w:eastAsia="fr-FR"/>
        </w:rPr>
      </w:pPr>
      <w:r w:rsidRPr="002B2F0B">
        <w:rPr>
          <w:b/>
          <w:bCs/>
          <w:i/>
          <w:iCs/>
          <w:szCs w:val="24"/>
          <w:lang w:eastAsia="fr-FR"/>
        </w:rPr>
        <w:t xml:space="preserve">(30) </w:t>
      </w:r>
      <w:r w:rsidRPr="002B2F0B">
        <w:rPr>
          <w:b/>
          <w:bCs/>
          <w:i/>
          <w:iCs/>
          <w:szCs w:val="24"/>
          <w:lang w:eastAsia="fr-FR"/>
        </w:rPr>
        <w:tab/>
        <w:t>Le présent règlement devrait protéger le droit du débiteur à accéder à un tribunal impartial et son droit à un recours effectif et devrait, par conséquent, eu égard à la nature non contradictoire de la procédure de délivrance de l'ordonnance de saisie conservatoire, lui permettre de contester l'ordonnance ou son exécution pour les motifs prévus dans le présent règlement immédiatement après la mise en œuvre de l'ordonnance.</w:t>
      </w:r>
    </w:p>
    <w:p w:rsidR="002022AB" w:rsidRPr="002B2F0B" w:rsidRDefault="002022AB" w:rsidP="00075179">
      <w:pPr>
        <w:spacing w:before="120" w:after="120" w:line="360" w:lineRule="auto"/>
        <w:ind w:left="567" w:hanging="567"/>
        <w:rPr>
          <w:b/>
          <w:bCs/>
          <w:i/>
          <w:iCs/>
          <w:szCs w:val="24"/>
          <w:lang w:eastAsia="fr-FR"/>
        </w:rPr>
      </w:pPr>
      <w:r w:rsidRPr="002B2F0B">
        <w:rPr>
          <w:szCs w:val="24"/>
          <w:lang w:eastAsia="fr-FR"/>
        </w:rPr>
        <w:br w:type="page"/>
      </w:r>
      <w:r w:rsidRPr="002B2F0B">
        <w:rPr>
          <w:b/>
          <w:bCs/>
          <w:i/>
          <w:iCs/>
          <w:szCs w:val="24"/>
          <w:lang w:eastAsia="fr-FR"/>
        </w:rPr>
        <w:t xml:space="preserve">(31) </w:t>
      </w:r>
      <w:r w:rsidRPr="002B2F0B">
        <w:rPr>
          <w:b/>
          <w:bCs/>
          <w:i/>
          <w:iCs/>
          <w:szCs w:val="24"/>
          <w:lang w:eastAsia="fr-FR"/>
        </w:rPr>
        <w:tab/>
        <w:t xml:space="preserve">Dans ce contexte, le présent règlement devrait exiger que l'ordonnance de saisie conservatoire, tous les documents soumis par le créancier à la juridiction dans l'État membre d'origine et les traductions nécessaires soient signifiés ou notifiés au débiteur rapidement après la mise en œuvre de l'ordonnance. La juridiction devrait avoir le pouvoir discrétionnaire de joindre à la signification ou à la notification tout autre document sur lequel elle a fondé sa décision et dont le débiteur pourrait avoir besoin pour son recours, comme les comptes rendus in extenso de toute audition. </w:t>
      </w:r>
    </w:p>
    <w:p w:rsidR="002022AB" w:rsidRPr="002B2F0B" w:rsidRDefault="002022AB" w:rsidP="00075179">
      <w:pPr>
        <w:spacing w:before="120" w:after="120" w:line="360" w:lineRule="auto"/>
        <w:ind w:left="567" w:hanging="567"/>
        <w:rPr>
          <w:b/>
          <w:bCs/>
          <w:i/>
          <w:iCs/>
          <w:szCs w:val="24"/>
          <w:lang w:eastAsia="fr-FR"/>
        </w:rPr>
      </w:pPr>
      <w:r w:rsidRPr="002B2F0B">
        <w:rPr>
          <w:b/>
          <w:bCs/>
          <w:i/>
          <w:iCs/>
          <w:szCs w:val="24"/>
          <w:lang w:eastAsia="fr-FR"/>
        </w:rPr>
        <w:t xml:space="preserve">(32) </w:t>
      </w:r>
      <w:r w:rsidRPr="002B2F0B">
        <w:rPr>
          <w:b/>
          <w:bCs/>
          <w:i/>
          <w:iCs/>
          <w:szCs w:val="24"/>
          <w:lang w:eastAsia="fr-FR"/>
        </w:rPr>
        <w:tab/>
        <w:t>Le débiteur devrait être en mesure de demander un réexamen de l'ordonnance de saisie conservatoire, en particulier si les conditions ou exigences énoncées dans le présent règlement n'étaient pas remplies ou si les circonstances qui ont conduit à la délivrance de l'ordonnance ont changé de telle manière que la délivrance de l'ordonnance ne serait plus fondée. Par exemple, le débiteur devrait disposer d'une voie de recours si le litige ne constitue pas un litige transfrontière tel que le définit le présent règlement, si les règles de compétence énoncées dans le présent règlement n'ont pas été respectées, si le créancier n'a pas engagé de procédure au fond dans les délais prévus par le présent règlement et si la juridiction n'a pas, de ce fait, révoqué d'office l'ordonnance ou si l'ordonnance n'a pas pris fin automatiquement, s'il n'était pas urgent de protéger la créance par une ordonnance de saisie conservatoire parce qu'il n'existait pas de risque que le recouvrement ultérieur de cette créance soit empêché ou rendu sensiblement plus difficile, ou si la constitution de la garantie n'était pas conforme aux exigences énoncées dans le présent règlement.</w:t>
      </w:r>
    </w:p>
    <w:p w:rsidR="002022AB" w:rsidRPr="002B2F0B" w:rsidRDefault="002022AB" w:rsidP="00075179">
      <w:pPr>
        <w:spacing w:before="120" w:after="120" w:line="336" w:lineRule="auto"/>
        <w:ind w:left="567"/>
        <w:rPr>
          <w:b/>
          <w:i/>
          <w:iCs/>
          <w:szCs w:val="24"/>
          <w:lang w:eastAsia="fr-FR"/>
        </w:rPr>
      </w:pPr>
      <w:r w:rsidRPr="002B2F0B">
        <w:rPr>
          <w:szCs w:val="24"/>
          <w:lang w:eastAsia="fr-FR"/>
        </w:rPr>
        <w:br w:type="page"/>
      </w:r>
      <w:r w:rsidRPr="002B2F0B">
        <w:rPr>
          <w:b/>
          <w:i/>
          <w:iCs/>
          <w:szCs w:val="24"/>
          <w:lang w:eastAsia="fr-FR"/>
        </w:rPr>
        <w:t>Le débiteur devrait également disposer d'une voie de recours si l'ordonnance et la déclaration relative à la saisie conservatoire ne lui ont pas été signifiées ou notifiées comme prévu dans le présent règlement ou si les documents qui lui ont été signifiés ou notifiés ne satisfaisaient pas aux exigences linguistiques prévues dans le présent règlement. Cependant, il ne devrait pas être fait droit à un tel recours s'il est remédié à l'absence de signification ou de notification ou de traduction dans un délai donné. Pour qu'il soit remédié à l'absence de signification ou de notification, le créancier devrait adresser une demande à l'organisme de l'État membre d'origine chargé des significations ou notifications en vue d'obtenir la signification ou la notification au débiteur des documents pertinents par courrier recommandé ou, lorsque le débiteur a accepté d'aller chercher les documents au siège de la juridiction, devrait fournir les traductions nécessaires des documents à la juridiction. Une telle demande ne devrait pas être nécessaire s'il a déjà été remédié à l'absence de signification ou de notification par d'autres voies, par exemple si, conformément au droit national, la juridiction a effectué la signification ou la notification d'office.</w:t>
      </w:r>
    </w:p>
    <w:p w:rsidR="002022AB" w:rsidRPr="002B2F0B" w:rsidRDefault="002022AB" w:rsidP="00075179">
      <w:pPr>
        <w:spacing w:before="120" w:after="120" w:line="336" w:lineRule="auto"/>
        <w:ind w:left="567" w:hanging="567"/>
        <w:rPr>
          <w:b/>
          <w:bCs/>
          <w:i/>
          <w:iCs/>
          <w:szCs w:val="24"/>
          <w:lang w:eastAsia="fr-FR"/>
        </w:rPr>
      </w:pPr>
      <w:r w:rsidRPr="002B2F0B">
        <w:rPr>
          <w:b/>
          <w:i/>
          <w:iCs/>
          <w:szCs w:val="24"/>
          <w:lang w:eastAsia="fr-FR"/>
        </w:rPr>
        <w:t xml:space="preserve">(33) </w:t>
      </w:r>
      <w:r w:rsidRPr="002B2F0B">
        <w:rPr>
          <w:b/>
          <w:i/>
          <w:iCs/>
          <w:szCs w:val="24"/>
          <w:lang w:eastAsia="fr-FR"/>
        </w:rPr>
        <w:tab/>
        <w:t>La question de savoir qui doit fournir les traductions requises au titre du présent règlement et qui doit supporter les coûts de ces traductions relève du droit national.</w:t>
      </w:r>
    </w:p>
    <w:p w:rsidR="002022AB" w:rsidRPr="002B2F0B" w:rsidRDefault="002022AB" w:rsidP="00075179">
      <w:pPr>
        <w:spacing w:before="120" w:after="120" w:line="336" w:lineRule="auto"/>
        <w:ind w:left="567" w:hanging="567"/>
        <w:rPr>
          <w:b/>
          <w:i/>
          <w:iCs/>
          <w:szCs w:val="24"/>
          <w:lang w:eastAsia="fr-FR"/>
        </w:rPr>
      </w:pPr>
      <w:r w:rsidRPr="002B2F0B">
        <w:rPr>
          <w:b/>
          <w:i/>
          <w:iCs/>
          <w:szCs w:val="24"/>
          <w:lang w:eastAsia="fr-FR"/>
        </w:rPr>
        <w:t xml:space="preserve">(34) </w:t>
      </w:r>
      <w:r w:rsidRPr="002B2F0B">
        <w:rPr>
          <w:b/>
          <w:i/>
          <w:iCs/>
          <w:szCs w:val="24"/>
          <w:lang w:eastAsia="fr-FR"/>
        </w:rPr>
        <w:tab/>
        <w:t>La compétence pour faire droit aux recours formés contre la délivrance de l'ordonnance de saisie conservatoire devrait relever des juridictions de l'État membre dans lequel l'ordonnance a été délivrée. La compétence pour faire droit aux recours formés contre l'exécution de l'ordonnance devrait relever des juridictions ou, le cas échéant, des autorités d'exécution compétentes de l'État membre d'exécution.</w:t>
      </w:r>
    </w:p>
    <w:p w:rsidR="002022AB" w:rsidRPr="002B2F0B" w:rsidRDefault="002022AB" w:rsidP="00075179">
      <w:pPr>
        <w:spacing w:before="120" w:after="120" w:line="336" w:lineRule="auto"/>
        <w:ind w:left="567" w:hanging="567"/>
        <w:rPr>
          <w:szCs w:val="24"/>
          <w:lang w:eastAsia="fr-FR"/>
        </w:rPr>
      </w:pPr>
      <w:r w:rsidRPr="002B2F0B">
        <w:rPr>
          <w:b/>
          <w:i/>
          <w:iCs/>
          <w:szCs w:val="24"/>
          <w:lang w:eastAsia="fr-FR"/>
        </w:rPr>
        <w:t xml:space="preserve">(35) </w:t>
      </w:r>
      <w:r w:rsidRPr="002B2F0B">
        <w:rPr>
          <w:b/>
          <w:i/>
          <w:iCs/>
          <w:szCs w:val="24"/>
          <w:lang w:eastAsia="fr-FR"/>
        </w:rPr>
        <w:tab/>
        <w:t>Le débiteur devrait avoir le droit de demander la libération des fonds faisant l'objet de par la saisie conservatoire s'il constitue une garantie de substitution appropriée. Cette garantie de substitution pourrait prendre la forme d'un dépôt de garantie ou d'une garantie de substitution, par exemple une garantie bancaire ou une hypothèque</w:t>
      </w:r>
      <w:r w:rsidRPr="002B2F0B">
        <w:rPr>
          <w:szCs w:val="24"/>
          <w:lang w:eastAsia="fr-FR"/>
        </w:rPr>
        <w:t>.</w:t>
      </w:r>
    </w:p>
    <w:p w:rsidR="002022AB" w:rsidRPr="002B2F0B" w:rsidRDefault="002022AB" w:rsidP="00075179">
      <w:pPr>
        <w:spacing w:before="120" w:after="120" w:line="360" w:lineRule="auto"/>
        <w:ind w:left="567" w:hanging="567"/>
        <w:rPr>
          <w:b/>
          <w:i/>
          <w:szCs w:val="24"/>
          <w:lang w:eastAsia="fr-FR"/>
        </w:rPr>
      </w:pPr>
      <w:r w:rsidRPr="002B2F0B">
        <w:rPr>
          <w:szCs w:val="24"/>
          <w:lang w:eastAsia="fr-FR"/>
        </w:rPr>
        <w:br w:type="page"/>
      </w:r>
      <w:r w:rsidRPr="002B2F0B">
        <w:rPr>
          <w:b/>
          <w:i/>
          <w:iCs/>
          <w:szCs w:val="24"/>
          <w:lang w:eastAsia="fr-FR"/>
        </w:rPr>
        <w:t>(36)</w:t>
      </w:r>
      <w:r w:rsidRPr="002B2F0B">
        <w:rPr>
          <w:b/>
          <w:szCs w:val="24"/>
          <w:lang w:eastAsia="fr-FR"/>
        </w:rPr>
        <w:t xml:space="preserve"> </w:t>
      </w:r>
      <w:r w:rsidRPr="002B2F0B">
        <w:rPr>
          <w:b/>
          <w:szCs w:val="24"/>
          <w:lang w:eastAsia="fr-FR"/>
        </w:rPr>
        <w:tab/>
      </w:r>
      <w:r w:rsidRPr="002B2F0B">
        <w:rPr>
          <w:b/>
          <w:i/>
          <w:szCs w:val="24"/>
          <w:lang w:eastAsia="fr-FR"/>
        </w:rPr>
        <w:t>Le présent règlement devrait garantir que la saisie conservatoire du compte du débiteur n'affecte pas les montants qui sont exemptés de saisie au titre du droit de l'État membre d'exécution, par exemple les montants nécessaires pour assurer la subsistance du débiteur et de sa famille. En fonction du système procédural applicable dans cet État membre, le montant concerné devrait être soit exempté d'office par l'organisme responsable, qui pourrait être la juridiction, la banque ou l'autorité d'exécution compétente, avant que l'ordonnance ne soit mise en œuvre, soit exempté à la demande du débiteur postérieurement à la mise en œuvre de l'ordonnance. Lorsque des comptes tenus dans plusieurs États membres font l'objet d'une saisie conservatoire et que l'exemption a été appliquée plusieurs fois, le créancier devrait avoir la possibilité de s'adresser à la juridiction compétente de l'un ou l’autre des États membres d'exécution ou, lorsque le droit national de l'État membre d'exécution le prévoit, à l'autorité d'exécution compétente de cet État membre, pour demander l'ajustement de l'exemption appliquée dans cet État membre.</w:t>
      </w:r>
    </w:p>
    <w:p w:rsidR="002022AB" w:rsidRPr="002B2F0B" w:rsidRDefault="002022AB" w:rsidP="00075179">
      <w:pPr>
        <w:tabs>
          <w:tab w:val="left" w:pos="709"/>
        </w:tabs>
        <w:autoSpaceDE w:val="0"/>
        <w:autoSpaceDN w:val="0"/>
        <w:adjustRightInd w:val="0"/>
        <w:spacing w:before="120" w:after="120" w:line="360" w:lineRule="auto"/>
        <w:ind w:left="709" w:hanging="709"/>
        <w:jc w:val="both"/>
        <w:rPr>
          <w:color w:val="000000"/>
          <w:szCs w:val="24"/>
        </w:rPr>
      </w:pPr>
      <w:r w:rsidRPr="002B2F0B">
        <w:rPr>
          <w:color w:val="000000"/>
          <w:szCs w:val="24"/>
        </w:rPr>
        <w:t>▌</w:t>
      </w:r>
    </w:p>
    <w:p w:rsidR="002022AB" w:rsidRPr="002B2F0B" w:rsidRDefault="002022AB" w:rsidP="00075179">
      <w:pPr>
        <w:spacing w:before="120" w:after="120" w:line="360" w:lineRule="auto"/>
        <w:ind w:left="567" w:hanging="567"/>
        <w:rPr>
          <w:szCs w:val="24"/>
          <w:lang w:eastAsia="fr-FR"/>
        </w:rPr>
      </w:pPr>
    </w:p>
    <w:p w:rsidR="002022AB" w:rsidRPr="002B2F0B" w:rsidRDefault="002022AB" w:rsidP="00075179">
      <w:pPr>
        <w:spacing w:before="120" w:after="120" w:line="360" w:lineRule="auto"/>
        <w:ind w:left="567" w:hanging="567"/>
        <w:rPr>
          <w:szCs w:val="24"/>
          <w:lang w:eastAsia="fr-FR"/>
        </w:rPr>
      </w:pPr>
      <w:r w:rsidRPr="002B2F0B">
        <w:rPr>
          <w:szCs w:val="24"/>
          <w:lang w:eastAsia="fr-FR"/>
        </w:rPr>
        <w:br w:type="page"/>
        <w:t>(37)</w:t>
      </w:r>
      <w:r w:rsidRPr="002B2F0B">
        <w:rPr>
          <w:szCs w:val="24"/>
          <w:lang w:eastAsia="fr-FR"/>
        </w:rPr>
        <w:tab/>
        <w:t xml:space="preserve">Afin de s'assurer que l'ordonnance de saisie conservatoire est délivrée et exécutée rapidement et sans retard, le </w:t>
      </w:r>
      <w:r w:rsidRPr="002B2F0B">
        <w:rPr>
          <w:b/>
          <w:i/>
          <w:iCs/>
          <w:szCs w:val="24"/>
          <w:lang w:eastAsia="fr-FR"/>
        </w:rPr>
        <w:t>présent</w:t>
      </w:r>
      <w:r w:rsidRPr="002B2F0B">
        <w:rPr>
          <w:szCs w:val="24"/>
          <w:lang w:eastAsia="fr-FR"/>
        </w:rPr>
        <w:t xml:space="preserve"> règlement devrait fixer des délais ▌au terme desquels les différentes étapes de la procédure doivent être réalisées. </w:t>
      </w:r>
      <w:r w:rsidRPr="002B2F0B">
        <w:rPr>
          <w:b/>
          <w:i/>
          <w:iCs/>
          <w:szCs w:val="24"/>
          <w:lang w:eastAsia="fr-FR"/>
        </w:rPr>
        <w:t>Les juridictions et les autorités participant à la procédure ne devraient être autorisées à déroger à ces délais que dans des circonstances exceptionnelles, par exemple dans des cas juridiquement ou factuellement complexes</w:t>
      </w:r>
      <w:r w:rsidRPr="002B2F0B">
        <w:rPr>
          <w:szCs w:val="24"/>
          <w:lang w:eastAsia="fr-FR"/>
        </w:rPr>
        <w:t>.</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t xml:space="preserve">(38) </w:t>
      </w:r>
      <w:r w:rsidRPr="002B2F0B">
        <w:rPr>
          <w:b/>
          <w:i/>
          <w:iCs/>
          <w:szCs w:val="24"/>
          <w:lang w:eastAsia="fr-FR"/>
        </w:rPr>
        <w:tab/>
        <w:t>Aux fins du calcul des délais et termes prévus par le présent règlement, il convient d'appliquer le règlement (CEE, Euratom) n° 1182/71 du Conseil</w:t>
      </w:r>
      <w:r w:rsidRPr="002B2F0B">
        <w:rPr>
          <w:b/>
          <w:i/>
          <w:iCs/>
          <w:szCs w:val="24"/>
          <w:vertAlign w:val="superscript"/>
          <w:lang w:eastAsia="fr-FR"/>
        </w:rPr>
        <w:footnoteReference w:id="68"/>
      </w:r>
      <w:r w:rsidRPr="002B2F0B">
        <w:rPr>
          <w:b/>
          <w:i/>
          <w:iCs/>
          <w:szCs w:val="24"/>
          <w:lang w:eastAsia="fr-FR"/>
        </w:rPr>
        <w:t>.</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t xml:space="preserve">(39) </w:t>
      </w:r>
      <w:r w:rsidRPr="002B2F0B">
        <w:rPr>
          <w:b/>
          <w:i/>
          <w:iCs/>
          <w:szCs w:val="24"/>
          <w:lang w:eastAsia="fr-FR"/>
        </w:rPr>
        <w:tab/>
        <w:t>Afin de faciliter l'application du présent règlement, il convient de prévoir une obligation pour les États membres de communiquer à la Commission certaines informations concernant leur législation et leurs procédures en matière d'ordonnances de saisie conservatoire et d'ordonnances équivalentes sur le plan national.</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t>(40)</w:t>
      </w:r>
      <w:r w:rsidRPr="002B2F0B">
        <w:rPr>
          <w:b/>
          <w:i/>
          <w:iCs/>
          <w:szCs w:val="24"/>
          <w:lang w:eastAsia="fr-FR"/>
        </w:rPr>
        <w:tab/>
        <w:t>Afin de faciliter l'application pratique du présent règlement, il convient d'établir des formulaires types, en particulier pour la demande d'ordonnance, pour l'ordonnance elle</w:t>
      </w:r>
      <w:r w:rsidRPr="002B2F0B">
        <w:rPr>
          <w:b/>
          <w:i/>
          <w:iCs/>
          <w:szCs w:val="24"/>
          <w:lang w:eastAsia="fr-FR"/>
        </w:rPr>
        <w:noBreakHyphen/>
        <w:t xml:space="preserve">même, pour la déclaration relative à la saisie des fonds à titre conservatoire et pour la demande de recours ou d'appel au titre du présent règlement. </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br w:type="page"/>
        <w:t xml:space="preserve">(41) </w:t>
      </w:r>
      <w:r w:rsidRPr="002B2F0B">
        <w:rPr>
          <w:b/>
          <w:i/>
          <w:iCs/>
          <w:szCs w:val="24"/>
          <w:lang w:eastAsia="fr-FR"/>
        </w:rPr>
        <w:tab/>
        <w:t>Afin d'augmenter l'efficacité de la procédure, le présent règlement devrait autoriser le recours le plus large possible aux technologies modernes de communication acceptées en vertu des règles de procédure des États membres concernés, en particulier aux fins de remplir les formulaires types prévus par le présent règlement et à des fins de communication entre les autorités participant à la procédure. En outre, les méthodes de signature de l'ordonnance de saisie conservatoire et des autres documents prévus par le présent règlement devraient être neutres sur le plan technologique afin de permettre l'application des méthodes existantes, telles la certification numérique ou l'authentification sécurisée, et l'évolution technique en la matière.</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t xml:space="preserve">(42) </w:t>
      </w:r>
      <w:r w:rsidRPr="002B2F0B">
        <w:rPr>
          <w:b/>
          <w:i/>
          <w:iCs/>
          <w:szCs w:val="24"/>
          <w:lang w:eastAsia="fr-FR"/>
        </w:rPr>
        <w:tab/>
        <w:t>Afin d'assurer des conditions uniformes d'exécution du présent règlement, il convient de conférer des compétences d'exécution à la Commission en ce qui concerne l'établissement et la modification ultérieure des formulaires types prévus par le présent règlement. Ces compétences devraient être exercées en conformité avec le règlement (UE) n° 182/2011 du Parlement européen et du Conseil</w:t>
      </w:r>
      <w:r w:rsidRPr="002B2F0B">
        <w:rPr>
          <w:b/>
          <w:i/>
          <w:iCs/>
          <w:szCs w:val="24"/>
          <w:vertAlign w:val="superscript"/>
          <w:lang w:eastAsia="fr-FR"/>
        </w:rPr>
        <w:footnoteReference w:id="69"/>
      </w:r>
      <w:r w:rsidRPr="002B2F0B">
        <w:rPr>
          <w:b/>
          <w:i/>
          <w:iCs/>
          <w:szCs w:val="24"/>
          <w:lang w:eastAsia="fr-FR"/>
        </w:rPr>
        <w:t>.</w:t>
      </w:r>
    </w:p>
    <w:p w:rsidR="002022AB" w:rsidRPr="002B2F0B" w:rsidRDefault="002022AB" w:rsidP="00075179">
      <w:pPr>
        <w:spacing w:before="120" w:after="120" w:line="360" w:lineRule="auto"/>
        <w:ind w:left="567" w:hanging="567"/>
        <w:rPr>
          <w:b/>
          <w:i/>
          <w:iCs/>
          <w:szCs w:val="24"/>
          <w:lang w:eastAsia="fr-FR"/>
        </w:rPr>
      </w:pPr>
      <w:r w:rsidRPr="002B2F0B">
        <w:rPr>
          <w:b/>
          <w:i/>
          <w:iCs/>
          <w:szCs w:val="24"/>
          <w:lang w:eastAsia="fr-FR"/>
        </w:rPr>
        <w:t>(43)</w:t>
      </w:r>
      <w:r w:rsidRPr="002B2F0B">
        <w:rPr>
          <w:b/>
          <w:i/>
          <w:iCs/>
          <w:szCs w:val="24"/>
          <w:lang w:eastAsia="fr-FR"/>
        </w:rPr>
        <w:tab/>
        <w:t>Il convient d'avoir recours à la procédure consultative pour l'adoption d'actes d'exécution visant à établir et ensuite à modifier les formulaires types prévus par le présent règlement en conformité avec l'article 4 du règlement (UE) n° 182/2011.</w:t>
      </w:r>
    </w:p>
    <w:p w:rsidR="002022AB" w:rsidRPr="002B2F0B" w:rsidRDefault="002022AB" w:rsidP="00075179">
      <w:pPr>
        <w:spacing w:before="120" w:after="120" w:line="336" w:lineRule="auto"/>
        <w:ind w:left="567" w:hanging="567"/>
        <w:rPr>
          <w:szCs w:val="24"/>
          <w:lang w:eastAsia="fr-FR"/>
        </w:rPr>
      </w:pPr>
      <w:r w:rsidRPr="002B2F0B">
        <w:rPr>
          <w:szCs w:val="24"/>
          <w:lang w:eastAsia="fr-FR"/>
        </w:rPr>
        <w:br w:type="page"/>
        <w:t>(44)</w:t>
      </w:r>
      <w:r w:rsidRPr="002B2F0B">
        <w:rPr>
          <w:szCs w:val="24"/>
          <w:lang w:eastAsia="fr-FR"/>
        </w:rPr>
        <w:tab/>
        <w:t xml:space="preserve">Le présent règlement respecte les droits fondamentaux et observe les principes consacrés par la charte des droits fondamentaux de l'Union européenne. En particulier, </w:t>
      </w:r>
      <w:r w:rsidRPr="002B2F0B">
        <w:rPr>
          <w:b/>
          <w:i/>
          <w:iCs/>
          <w:szCs w:val="24"/>
          <w:lang w:eastAsia="fr-FR"/>
        </w:rPr>
        <w:t>il</w:t>
      </w:r>
      <w:r w:rsidRPr="002B2F0B">
        <w:rPr>
          <w:b/>
          <w:szCs w:val="24"/>
          <w:lang w:eastAsia="fr-FR"/>
        </w:rPr>
        <w:t xml:space="preserve"> </w:t>
      </w:r>
      <w:r w:rsidRPr="002B2F0B">
        <w:rPr>
          <w:szCs w:val="24"/>
          <w:lang w:eastAsia="fr-FR"/>
        </w:rPr>
        <w:t xml:space="preserve">vise à garantir le respect de la vie privée et familiale, la protection des données à caractère personnel, le droit de propriété et le droit à un recours effectif et à accéder à un tribunal impartial </w:t>
      </w:r>
      <w:r w:rsidRPr="002B2F0B">
        <w:rPr>
          <w:b/>
          <w:i/>
          <w:iCs/>
          <w:szCs w:val="24"/>
          <w:lang w:eastAsia="fr-FR"/>
        </w:rPr>
        <w:t>établis respectivement aux articles 7, 8, 17 et 47 de celle</w:t>
      </w:r>
      <w:r w:rsidRPr="002B2F0B">
        <w:rPr>
          <w:b/>
          <w:i/>
          <w:iCs/>
          <w:szCs w:val="24"/>
          <w:lang w:eastAsia="fr-FR"/>
        </w:rPr>
        <w:noBreakHyphen/>
        <w:t>ci</w:t>
      </w:r>
      <w:r w:rsidRPr="002B2F0B">
        <w:rPr>
          <w:bCs/>
          <w:szCs w:val="24"/>
          <w:lang w:eastAsia="fr-FR"/>
        </w:rPr>
        <w:t>.</w:t>
      </w:r>
    </w:p>
    <w:p w:rsidR="002022AB" w:rsidRPr="002B2F0B" w:rsidRDefault="002022AB" w:rsidP="00075179">
      <w:pPr>
        <w:spacing w:before="120" w:after="120" w:line="336" w:lineRule="auto"/>
        <w:ind w:left="567" w:hanging="567"/>
        <w:rPr>
          <w:szCs w:val="24"/>
          <w:lang w:eastAsia="fr-FR"/>
        </w:rPr>
      </w:pPr>
      <w:r w:rsidRPr="002B2F0B">
        <w:rPr>
          <w:szCs w:val="24"/>
          <w:lang w:eastAsia="fr-FR"/>
        </w:rPr>
        <w:t>(45)</w:t>
      </w:r>
      <w:r w:rsidRPr="002B2F0B">
        <w:rPr>
          <w:szCs w:val="24"/>
          <w:lang w:eastAsia="fr-FR"/>
        </w:rPr>
        <w:tab/>
      </w:r>
      <w:r w:rsidRPr="002B2F0B">
        <w:rPr>
          <w:b/>
          <w:i/>
          <w:iCs/>
          <w:szCs w:val="24"/>
          <w:lang w:eastAsia="fr-FR"/>
        </w:rPr>
        <w:t>Dans le cadre de l'accès aux données à caractère personnel et de l'utilisation et de la transmission de celles-ci, au titre du présent règlement, il convient de respecter les exigences de l</w:t>
      </w:r>
      <w:r w:rsidRPr="002B2F0B">
        <w:rPr>
          <w:szCs w:val="24"/>
          <w:lang w:eastAsia="fr-FR"/>
        </w:rPr>
        <w:t>a directive 95/46/CE du Parlement européen et du Conseil</w:t>
      </w:r>
      <w:r w:rsidRPr="002B2F0B">
        <w:rPr>
          <w:b/>
          <w:bCs/>
          <w:szCs w:val="24"/>
          <w:vertAlign w:val="superscript"/>
          <w:lang w:eastAsia="fr-FR"/>
        </w:rPr>
        <w:footnoteReference w:id="70"/>
      </w:r>
      <w:r w:rsidRPr="002B2F0B">
        <w:rPr>
          <w:szCs w:val="24"/>
          <w:lang w:eastAsia="fr-FR"/>
        </w:rPr>
        <w:t>,</w:t>
      </w:r>
      <w:r w:rsidRPr="002B2F0B">
        <w:rPr>
          <w:b/>
          <w:bCs/>
          <w:i/>
          <w:iCs/>
          <w:szCs w:val="24"/>
          <w:lang w:eastAsia="fr-FR"/>
        </w:rPr>
        <w:t xml:space="preserve"> telle qu'elle a été transposée dans le droit national des États membres</w:t>
      </w:r>
      <w:r w:rsidRPr="002B2F0B">
        <w:rPr>
          <w:szCs w:val="24"/>
          <w:lang w:eastAsia="fr-FR"/>
        </w:rPr>
        <w:t>.</w:t>
      </w:r>
    </w:p>
    <w:p w:rsidR="002022AB" w:rsidRPr="002B2F0B" w:rsidRDefault="002022AB" w:rsidP="00075179">
      <w:pPr>
        <w:spacing w:before="120" w:after="120" w:line="336" w:lineRule="auto"/>
        <w:ind w:left="567" w:hanging="567"/>
        <w:rPr>
          <w:b/>
          <w:bCs/>
          <w:i/>
          <w:iCs/>
          <w:szCs w:val="24"/>
          <w:lang w:eastAsia="fr-FR"/>
        </w:rPr>
      </w:pPr>
      <w:r w:rsidRPr="002B2F0B">
        <w:rPr>
          <w:b/>
          <w:i/>
          <w:iCs/>
          <w:szCs w:val="24"/>
          <w:lang w:eastAsia="fr-FR"/>
        </w:rPr>
        <w:t xml:space="preserve">(46) </w:t>
      </w:r>
      <w:r w:rsidRPr="002B2F0B">
        <w:rPr>
          <w:b/>
          <w:i/>
          <w:iCs/>
          <w:szCs w:val="24"/>
          <w:lang w:eastAsia="fr-FR"/>
        </w:rPr>
        <w:tab/>
        <w:t>Aux fins de l'application du présent règlement, il y a cependant lieu de fixer certaines conditions spécifiques d'accès aux données à caractère personnel et d'utilisation et de transmission de celles</w:t>
      </w:r>
      <w:r w:rsidRPr="002B2F0B">
        <w:rPr>
          <w:b/>
          <w:i/>
          <w:iCs/>
          <w:szCs w:val="24"/>
          <w:lang w:eastAsia="fr-FR"/>
        </w:rPr>
        <w:noBreakHyphen/>
        <w:t>ci. Dans ce cadre, l'avis du Contrôleur européen de la protection des données</w:t>
      </w:r>
      <w:r w:rsidRPr="002B2F0B">
        <w:rPr>
          <w:b/>
          <w:i/>
          <w:iCs/>
          <w:szCs w:val="24"/>
          <w:vertAlign w:val="superscript"/>
          <w:lang w:eastAsia="fr-FR"/>
        </w:rPr>
        <w:footnoteReference w:id="71"/>
      </w:r>
      <w:r w:rsidRPr="002B2F0B">
        <w:rPr>
          <w:b/>
          <w:i/>
          <w:iCs/>
          <w:szCs w:val="24"/>
          <w:lang w:eastAsia="fr-FR"/>
        </w:rPr>
        <w:t xml:space="preserve"> a été pris en considération. La notification à la personne concernée devrait être effectuée conformément au droit national. Cependant, la notification au débiteur de la divulgation des informations relatives à son ou ses comptes devrait être reportée de trente jours afin d'empêcher qu'une notification précoce ne compromette les effets de l'ordonnance de saisie conservatoire. </w:t>
      </w:r>
    </w:p>
    <w:p w:rsidR="002022AB" w:rsidRPr="002B2F0B" w:rsidRDefault="002022AB" w:rsidP="00075179">
      <w:pPr>
        <w:spacing w:before="120" w:after="120" w:line="336" w:lineRule="auto"/>
        <w:ind w:left="567" w:hanging="567"/>
        <w:rPr>
          <w:b/>
          <w:bCs/>
          <w:i/>
          <w:iCs/>
          <w:szCs w:val="24"/>
          <w:lang w:eastAsia="fr-FR"/>
        </w:rPr>
      </w:pPr>
      <w:r w:rsidRPr="002B2F0B">
        <w:rPr>
          <w:b/>
          <w:i/>
          <w:iCs/>
          <w:szCs w:val="24"/>
          <w:lang w:eastAsia="fr-FR"/>
        </w:rPr>
        <w:br w:type="page"/>
        <w:t>(47)</w:t>
      </w:r>
      <w:r w:rsidRPr="002B2F0B">
        <w:rPr>
          <w:i/>
          <w:iCs/>
          <w:szCs w:val="24"/>
          <w:lang w:eastAsia="fr-FR"/>
        </w:rPr>
        <w:t xml:space="preserve"> </w:t>
      </w:r>
      <w:r w:rsidRPr="002B2F0B">
        <w:rPr>
          <w:i/>
          <w:iCs/>
          <w:szCs w:val="24"/>
          <w:lang w:eastAsia="fr-FR"/>
        </w:rPr>
        <w:tab/>
      </w:r>
      <w:r w:rsidRPr="002B2F0B">
        <w:rPr>
          <w:b/>
          <w:i/>
          <w:iCs/>
          <w:szCs w:val="24"/>
          <w:lang w:eastAsia="fr-FR"/>
        </w:rPr>
        <w:t>Étant donné que l'objectif du présent règlement, à savoir instaurer une procédure au niveau de l'Union relative à une mesure conservatoire permettant à un créancier d'obtenir une ordonnance de saisie conservatoire qui empêche que le recouvrement ultérieur de sa créance ne soit mis en péril par le transfert ou le retrait de fonds détenus par le débiteur sur un compte bancaire au sein de l'Union, ne peut pas être atteint de manière suffisante par les États membres mais peut, en raison de ses dimensions et de ses effets, l'être mieux au niveau de l'Union, celle</w:t>
      </w:r>
      <w:r w:rsidRPr="002B2F0B">
        <w:rPr>
          <w:b/>
          <w:i/>
          <w:iCs/>
          <w:szCs w:val="24"/>
          <w:lang w:eastAsia="fr-FR"/>
        </w:rPr>
        <w:noBreakHyphen/>
        <w:t>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2022AB" w:rsidRPr="002B2F0B" w:rsidRDefault="002022AB" w:rsidP="00075179">
      <w:pPr>
        <w:spacing w:before="120" w:after="120" w:line="360" w:lineRule="auto"/>
        <w:ind w:left="567" w:hanging="567"/>
        <w:rPr>
          <w:b/>
          <w:i/>
          <w:szCs w:val="24"/>
          <w:lang w:eastAsia="fr-FR"/>
        </w:rPr>
      </w:pPr>
      <w:bookmarkStart w:id="53" w:name="ControlPages"/>
      <w:bookmarkEnd w:id="53"/>
      <w:r w:rsidRPr="002B2F0B">
        <w:rPr>
          <w:b/>
          <w:i/>
          <w:iCs/>
          <w:szCs w:val="24"/>
          <w:lang w:eastAsia="fr-FR"/>
        </w:rPr>
        <w:t xml:space="preserve">(48) </w:t>
      </w:r>
      <w:r w:rsidRPr="002B2F0B">
        <w:rPr>
          <w:b/>
          <w:i/>
          <w:iCs/>
          <w:szCs w:val="24"/>
          <w:lang w:eastAsia="fr-FR"/>
        </w:rPr>
        <w:tab/>
        <w:t>Le</w:t>
      </w:r>
      <w:r w:rsidRPr="002B2F0B">
        <w:rPr>
          <w:b/>
          <w:i/>
          <w:szCs w:val="24"/>
          <w:lang w:eastAsia="fr-FR"/>
        </w:rPr>
        <w:t xml:space="preserve"> présent règlement ne devrait s'appliquer qu'aux États membres qui sont liés par ledit règlement conformément aux traités. La procédure d’obtention d’une ordonnance de saisie conservatoire prévue par le présent règlement ne devrait dès lors être à la disposition que des créanciers qui sont domiciliés dans un État membre lié par le présent règlement et les ordonnances délivrées au titre du présent règlement ne devraient porter que sur la saisie conservatoire de comptes bancaires tenus dans un tel État membre.</w:t>
      </w:r>
    </w:p>
    <w:p w:rsidR="002022AB" w:rsidRPr="002B2F0B" w:rsidRDefault="002022AB" w:rsidP="00075179">
      <w:pPr>
        <w:spacing w:before="120" w:after="120" w:line="360" w:lineRule="auto"/>
        <w:ind w:left="567" w:hanging="567"/>
        <w:rPr>
          <w:i/>
          <w:iCs/>
          <w:szCs w:val="24"/>
          <w:lang w:eastAsia="fr-FR"/>
        </w:rPr>
      </w:pPr>
      <w:r w:rsidRPr="002B2F0B">
        <w:rPr>
          <w:szCs w:val="24"/>
          <w:lang w:eastAsia="fr-FR"/>
        </w:rPr>
        <w:br w:type="page"/>
        <w:t>(49)</w:t>
      </w:r>
      <w:r w:rsidRPr="002B2F0B">
        <w:rPr>
          <w:szCs w:val="24"/>
          <w:lang w:eastAsia="fr-FR"/>
        </w:rPr>
        <w:tab/>
      </w:r>
      <w:r w:rsidRPr="002B2F0B">
        <w:rPr>
          <w:iCs/>
          <w:szCs w:val="24"/>
          <w:lang w:eastAsia="fr-FR"/>
        </w:rPr>
        <w:t>Conformément à </w:t>
      </w:r>
      <w:r w:rsidRPr="002B2F0B">
        <w:rPr>
          <w:b/>
          <w:bCs/>
          <w:i/>
          <w:szCs w:val="24"/>
          <w:lang w:eastAsia="fr-FR"/>
        </w:rPr>
        <w:t>l'article</w:t>
      </w:r>
      <w:r w:rsidRPr="002B2F0B">
        <w:rPr>
          <w:i/>
          <w:szCs w:val="24"/>
          <w:lang w:eastAsia="fr-FR"/>
        </w:rPr>
        <w:t> </w:t>
      </w:r>
      <w:r w:rsidRPr="002B2F0B">
        <w:rPr>
          <w:b/>
          <w:i/>
          <w:szCs w:val="24"/>
          <w:lang w:eastAsia="fr-FR"/>
        </w:rPr>
        <w:t>3</w:t>
      </w:r>
      <w:r w:rsidRPr="002B2F0B">
        <w:rPr>
          <w:i/>
          <w:szCs w:val="24"/>
          <w:lang w:eastAsia="fr-FR"/>
        </w:rPr>
        <w:t xml:space="preserve"> </w:t>
      </w:r>
      <w:r w:rsidRPr="002B2F0B">
        <w:rPr>
          <w:iCs/>
          <w:szCs w:val="24"/>
          <w:lang w:eastAsia="fr-FR"/>
        </w:rPr>
        <w:t>du protocole</w:t>
      </w:r>
      <w:r w:rsidRPr="002B2F0B">
        <w:rPr>
          <w:i/>
          <w:szCs w:val="24"/>
          <w:lang w:eastAsia="fr-FR"/>
        </w:rPr>
        <w:t xml:space="preserve"> </w:t>
      </w:r>
      <w:r w:rsidRPr="002B2F0B">
        <w:rPr>
          <w:b/>
          <w:i/>
          <w:szCs w:val="24"/>
          <w:lang w:eastAsia="fr-FR"/>
        </w:rPr>
        <w:t>n° 21</w:t>
      </w:r>
      <w:r w:rsidRPr="002B2F0B">
        <w:rPr>
          <w:i/>
          <w:szCs w:val="24"/>
          <w:lang w:eastAsia="fr-FR"/>
        </w:rPr>
        <w:t xml:space="preserve"> </w:t>
      </w:r>
      <w:r w:rsidRPr="002B2F0B">
        <w:rPr>
          <w:iCs/>
          <w:szCs w:val="24"/>
          <w:lang w:eastAsia="fr-FR"/>
        </w:rPr>
        <w:t>sur la position du Royaume</w:t>
      </w:r>
      <w:r w:rsidRPr="002B2F0B">
        <w:rPr>
          <w:iCs/>
          <w:szCs w:val="24"/>
          <w:lang w:eastAsia="fr-FR"/>
        </w:rPr>
        <w:noBreakHyphen/>
        <w:t>Uni et de l'Irlande à l'égard de l'espace de liberté, de sécurité et de justice, annexé au traité sur l'Union européenne et au</w:t>
      </w:r>
      <w:r w:rsidRPr="002B2F0B">
        <w:rPr>
          <w:i/>
          <w:szCs w:val="24"/>
          <w:lang w:eastAsia="fr-FR"/>
        </w:rPr>
        <w:t xml:space="preserve"> </w:t>
      </w:r>
      <w:r w:rsidRPr="002B2F0B">
        <w:rPr>
          <w:b/>
          <w:i/>
          <w:szCs w:val="24"/>
          <w:lang w:eastAsia="fr-FR"/>
        </w:rPr>
        <w:t>traité sur le fonctionnement de l'Union européenne</w:t>
      </w:r>
      <w:r w:rsidRPr="002B2F0B">
        <w:rPr>
          <w:iCs/>
          <w:szCs w:val="24"/>
          <w:lang w:eastAsia="fr-FR"/>
        </w:rPr>
        <w:t>, l'Irlande</w:t>
      </w:r>
      <w:r w:rsidRPr="002B2F0B">
        <w:rPr>
          <w:i/>
          <w:szCs w:val="24"/>
          <w:lang w:eastAsia="fr-FR"/>
        </w:rPr>
        <w:t> </w:t>
      </w:r>
      <w:r w:rsidRPr="002B2F0B">
        <w:rPr>
          <w:b/>
          <w:i/>
          <w:szCs w:val="24"/>
          <w:lang w:eastAsia="fr-FR"/>
        </w:rPr>
        <w:t>a</w:t>
      </w:r>
      <w:r w:rsidRPr="002B2F0B">
        <w:rPr>
          <w:i/>
          <w:szCs w:val="24"/>
          <w:lang w:eastAsia="fr-FR"/>
        </w:rPr>
        <w:t xml:space="preserve"> </w:t>
      </w:r>
      <w:r w:rsidRPr="002B2F0B">
        <w:rPr>
          <w:iCs/>
          <w:szCs w:val="24"/>
          <w:lang w:eastAsia="fr-FR"/>
        </w:rPr>
        <w:t>notifié</w:t>
      </w:r>
      <w:r w:rsidRPr="002B2F0B">
        <w:rPr>
          <w:i/>
          <w:szCs w:val="24"/>
          <w:lang w:eastAsia="fr-FR"/>
        </w:rPr>
        <w:t xml:space="preserve"> </w:t>
      </w:r>
      <w:r w:rsidRPr="002B2F0B">
        <w:rPr>
          <w:b/>
          <w:i/>
          <w:szCs w:val="24"/>
          <w:lang w:eastAsia="fr-FR"/>
        </w:rPr>
        <w:t>son</w:t>
      </w:r>
      <w:r w:rsidRPr="002B2F0B">
        <w:rPr>
          <w:i/>
          <w:szCs w:val="24"/>
          <w:lang w:eastAsia="fr-FR"/>
        </w:rPr>
        <w:t xml:space="preserve"> </w:t>
      </w:r>
      <w:r w:rsidRPr="002B2F0B">
        <w:rPr>
          <w:iCs/>
          <w:szCs w:val="24"/>
          <w:lang w:eastAsia="fr-FR"/>
        </w:rPr>
        <w:t>souhait de participer à l'adoption et à l'application du présent règlement ▌</w:t>
      </w:r>
      <w:r w:rsidRPr="002B2F0B">
        <w:rPr>
          <w:szCs w:val="24"/>
          <w:lang w:eastAsia="fr-FR"/>
        </w:rPr>
        <w:t>.</w:t>
      </w:r>
    </w:p>
    <w:p w:rsidR="002022AB" w:rsidRPr="002B2F0B" w:rsidRDefault="002022AB" w:rsidP="00075179">
      <w:pPr>
        <w:spacing w:before="120" w:after="120" w:line="360" w:lineRule="auto"/>
        <w:ind w:left="567" w:hanging="567"/>
        <w:rPr>
          <w:i/>
          <w:iCs/>
          <w:szCs w:val="24"/>
          <w:lang w:eastAsia="fr-FR"/>
        </w:rPr>
      </w:pPr>
      <w:r w:rsidRPr="002B2F0B">
        <w:rPr>
          <w:b/>
          <w:i/>
          <w:iCs/>
          <w:szCs w:val="24"/>
          <w:lang w:eastAsia="fr-FR"/>
        </w:rPr>
        <w:t>(50</w:t>
      </w:r>
      <w:r w:rsidRPr="002B2F0B">
        <w:rPr>
          <w:b/>
          <w:szCs w:val="24"/>
          <w:lang w:eastAsia="fr-FR"/>
        </w:rPr>
        <w:t>)</w:t>
      </w:r>
      <w:r w:rsidRPr="002B2F0B">
        <w:rPr>
          <w:b/>
          <w:i/>
          <w:szCs w:val="24"/>
          <w:lang w:eastAsia="fr-FR"/>
        </w:rPr>
        <w:t xml:space="preserve"> </w:t>
      </w:r>
      <w:r w:rsidRPr="002B2F0B">
        <w:rPr>
          <w:b/>
          <w:i/>
          <w:szCs w:val="24"/>
          <w:lang w:eastAsia="fr-FR"/>
        </w:rPr>
        <w:tab/>
        <w:t>Conformément aux articles 1</w:t>
      </w:r>
      <w:r w:rsidRPr="002B2F0B">
        <w:rPr>
          <w:b/>
          <w:i/>
          <w:szCs w:val="24"/>
          <w:vertAlign w:val="superscript"/>
          <w:lang w:eastAsia="fr-FR"/>
        </w:rPr>
        <w:t>er</w:t>
      </w:r>
      <w:r w:rsidRPr="002B2F0B">
        <w:rPr>
          <w:b/>
          <w:i/>
          <w:szCs w:val="24"/>
          <w:lang w:eastAsia="fr-FR"/>
        </w:rPr>
        <w:t xml:space="preserve"> et 2 du protocole n° 21 sur la position du Royaume Uni et de l'Irlande à l'égard de l'espace de de liberté, de sécurité et de justice, annexé au traité sur l'Union européenne et au traité sur le fonctionnement de l'Union européenne, le Royaume</w:t>
      </w:r>
      <w:r w:rsidRPr="002B2F0B">
        <w:rPr>
          <w:b/>
          <w:i/>
          <w:szCs w:val="24"/>
          <w:lang w:eastAsia="fr-FR"/>
        </w:rPr>
        <w:noBreakHyphen/>
        <w:t>Uni ne participe pas</w:t>
      </w:r>
      <w:r w:rsidRPr="002B2F0B">
        <w:rPr>
          <w:i/>
          <w:szCs w:val="24"/>
          <w:lang w:eastAsia="fr-FR"/>
        </w:rPr>
        <w:t xml:space="preserve"> à </w:t>
      </w:r>
      <w:r w:rsidRPr="002B2F0B">
        <w:rPr>
          <w:b/>
          <w:bCs/>
          <w:i/>
          <w:szCs w:val="24"/>
          <w:lang w:eastAsia="fr-FR"/>
        </w:rPr>
        <w:t>l'adoption du présent règlement et n'est pas lié par celui</w:t>
      </w:r>
      <w:r w:rsidRPr="002B2F0B">
        <w:rPr>
          <w:b/>
          <w:bCs/>
          <w:i/>
          <w:szCs w:val="24"/>
          <w:lang w:eastAsia="fr-FR"/>
        </w:rPr>
        <w:noBreakHyphen/>
        <w:t xml:space="preserve">ci ni soumis à son application. </w:t>
      </w:r>
    </w:p>
    <w:p w:rsidR="002022AB" w:rsidRPr="002B2F0B" w:rsidRDefault="002022AB" w:rsidP="00075179">
      <w:pPr>
        <w:spacing w:before="120" w:after="120" w:line="360" w:lineRule="auto"/>
        <w:ind w:left="567" w:hanging="567"/>
        <w:rPr>
          <w:i/>
          <w:iCs/>
          <w:szCs w:val="24"/>
          <w:lang w:eastAsia="fr-FR"/>
        </w:rPr>
      </w:pPr>
      <w:r w:rsidRPr="002B2F0B">
        <w:rPr>
          <w:szCs w:val="24"/>
          <w:lang w:eastAsia="fr-FR"/>
        </w:rPr>
        <w:t>(51)</w:t>
      </w:r>
      <w:r w:rsidRPr="002B2F0B">
        <w:rPr>
          <w:i/>
          <w:szCs w:val="24"/>
          <w:lang w:eastAsia="fr-FR"/>
        </w:rPr>
        <w:tab/>
      </w:r>
      <w:r w:rsidRPr="002B2F0B">
        <w:rPr>
          <w:iCs/>
          <w:szCs w:val="24"/>
          <w:lang w:eastAsia="fr-FR"/>
        </w:rPr>
        <w:t>Conformément aux articles 1</w:t>
      </w:r>
      <w:r w:rsidRPr="002B2F0B">
        <w:rPr>
          <w:iCs/>
          <w:szCs w:val="24"/>
          <w:vertAlign w:val="superscript"/>
          <w:lang w:eastAsia="fr-FR"/>
        </w:rPr>
        <w:t>er</w:t>
      </w:r>
      <w:r w:rsidRPr="002B2F0B">
        <w:rPr>
          <w:iCs/>
          <w:szCs w:val="24"/>
          <w:lang w:eastAsia="fr-FR"/>
        </w:rPr>
        <w:t xml:space="preserve"> et 2 du protocole</w:t>
      </w:r>
      <w:r w:rsidRPr="002B2F0B">
        <w:rPr>
          <w:i/>
          <w:szCs w:val="24"/>
          <w:lang w:eastAsia="fr-FR"/>
        </w:rPr>
        <w:t xml:space="preserve"> </w:t>
      </w:r>
      <w:r w:rsidRPr="002B2F0B">
        <w:rPr>
          <w:b/>
          <w:i/>
          <w:szCs w:val="24"/>
          <w:lang w:eastAsia="fr-FR"/>
        </w:rPr>
        <w:t xml:space="preserve">n° 22 </w:t>
      </w:r>
      <w:r w:rsidRPr="002B2F0B">
        <w:rPr>
          <w:iCs/>
          <w:szCs w:val="24"/>
          <w:lang w:eastAsia="fr-FR"/>
        </w:rPr>
        <w:t xml:space="preserve">sur la position du Danemark annexé au traité sur l'Union européenne et au </w:t>
      </w:r>
      <w:r w:rsidRPr="002B2F0B">
        <w:rPr>
          <w:b/>
          <w:i/>
          <w:szCs w:val="24"/>
          <w:lang w:eastAsia="fr-FR"/>
        </w:rPr>
        <w:t>traité sur le fonctionnement de l'Union européenne</w:t>
      </w:r>
      <w:r w:rsidRPr="002B2F0B">
        <w:rPr>
          <w:iCs/>
          <w:szCs w:val="24"/>
          <w:lang w:eastAsia="fr-FR"/>
        </w:rPr>
        <w:t xml:space="preserve">, le Danemark ne </w:t>
      </w:r>
      <w:r w:rsidRPr="002B2F0B">
        <w:rPr>
          <w:b/>
          <w:i/>
          <w:szCs w:val="24"/>
          <w:lang w:eastAsia="fr-FR"/>
        </w:rPr>
        <w:t>participe</w:t>
      </w:r>
      <w:r w:rsidRPr="002B2F0B">
        <w:rPr>
          <w:iCs/>
          <w:szCs w:val="24"/>
          <w:lang w:eastAsia="fr-FR"/>
        </w:rPr>
        <w:t xml:space="preserve"> pas à l'adoption du présent règlement et n'est pas lié par celui</w:t>
      </w:r>
      <w:r w:rsidRPr="002B2F0B">
        <w:rPr>
          <w:iCs/>
          <w:szCs w:val="24"/>
          <w:lang w:eastAsia="fr-FR"/>
        </w:rPr>
        <w:noBreakHyphen/>
        <w:t>ci ni</w:t>
      </w:r>
      <w:r w:rsidRPr="002B2F0B">
        <w:rPr>
          <w:i/>
          <w:szCs w:val="24"/>
          <w:lang w:eastAsia="fr-FR"/>
        </w:rPr>
        <w:t xml:space="preserve"> </w:t>
      </w:r>
      <w:r w:rsidRPr="002B2F0B">
        <w:rPr>
          <w:b/>
          <w:i/>
          <w:szCs w:val="24"/>
          <w:lang w:eastAsia="fr-FR"/>
        </w:rPr>
        <w:t>soumis à son application</w:t>
      </w:r>
      <w:r w:rsidRPr="002B2F0B">
        <w:rPr>
          <w:i/>
          <w:szCs w:val="24"/>
          <w:lang w:eastAsia="fr-FR"/>
        </w:rPr>
        <w:t>,</w:t>
      </w:r>
    </w:p>
    <w:p w:rsidR="002022AB" w:rsidRPr="002B2F0B" w:rsidRDefault="002022AB" w:rsidP="00075179">
      <w:pPr>
        <w:spacing w:before="120" w:after="120" w:line="360" w:lineRule="auto"/>
        <w:ind w:left="567" w:hanging="567"/>
        <w:rPr>
          <w:szCs w:val="24"/>
          <w:lang w:eastAsia="fr-FR"/>
        </w:rPr>
      </w:pPr>
      <w:r w:rsidRPr="002B2F0B">
        <w:rPr>
          <w:szCs w:val="24"/>
          <w:lang w:eastAsia="fr-FR"/>
        </w:rPr>
        <w:t>ONT ADOPTÉ LE PRÉSENT RÈGLEMENT:</w:t>
      </w:r>
    </w:p>
    <w:p w:rsidR="002022AB" w:rsidRPr="002B2F0B" w:rsidRDefault="002022AB" w:rsidP="00075179">
      <w:pPr>
        <w:spacing w:before="120" w:after="120" w:line="360" w:lineRule="auto"/>
        <w:ind w:left="567" w:hanging="567"/>
        <w:rPr>
          <w:szCs w:val="24"/>
          <w:lang w:eastAsia="fr-FR"/>
        </w:rPr>
        <w:sectPr w:rsidR="002022AB" w:rsidRPr="002B2F0B" w:rsidSect="00075179">
          <w:footerReference w:type="even" r:id="rId46"/>
          <w:footerReference w:type="default" r:id="rId47"/>
          <w:footnotePr>
            <w:numRestart w:val="eachPage"/>
          </w:footnotePr>
          <w:endnotePr>
            <w:numFmt w:val="decimal"/>
          </w:endnotePr>
          <w:pgSz w:w="11905" w:h="16837" w:code="9"/>
          <w:pgMar w:top="1134" w:right="1247" w:bottom="1814" w:left="1418" w:header="720" w:footer="397" w:gutter="0"/>
          <w:cols w:space="720"/>
          <w:noEndnote/>
          <w:docGrid w:linePitch="326"/>
        </w:sectPr>
      </w:pPr>
    </w:p>
    <w:p w:rsidR="002022AB" w:rsidRPr="002B2F0B" w:rsidRDefault="002022AB" w:rsidP="00075179">
      <w:pPr>
        <w:keepNext/>
        <w:spacing w:before="120" w:after="360" w:line="360" w:lineRule="auto"/>
        <w:jc w:val="center"/>
        <w:rPr>
          <w:b/>
          <w:bCs/>
          <w:sz w:val="32"/>
          <w:szCs w:val="32"/>
          <w:lang w:eastAsia="fr-FR"/>
        </w:rPr>
      </w:pPr>
      <w:r w:rsidRPr="002B2F0B">
        <w:rPr>
          <w:b/>
          <w:bCs/>
          <w:sz w:val="32"/>
          <w:szCs w:val="32"/>
          <w:lang w:eastAsia="fr-FR"/>
        </w:rPr>
        <w:t>Chapitre 1</w:t>
      </w:r>
      <w:r w:rsidRPr="002B2F0B">
        <w:rPr>
          <w:b/>
          <w:bCs/>
          <w:sz w:val="32"/>
          <w:szCs w:val="32"/>
          <w:lang w:eastAsia="fr-FR"/>
        </w:rPr>
        <w:br/>
        <w:t>Objet, champ d'application et définitions</w:t>
      </w:r>
    </w:p>
    <w:p w:rsidR="002022AB" w:rsidRPr="002B2F0B" w:rsidRDefault="002022AB" w:rsidP="00075179">
      <w:pPr>
        <w:keepNext/>
        <w:spacing w:before="120" w:after="120" w:line="360" w:lineRule="auto"/>
        <w:jc w:val="center"/>
        <w:rPr>
          <w:i/>
          <w:iCs/>
          <w:szCs w:val="24"/>
          <w:lang w:eastAsia="fr-FR"/>
        </w:rPr>
      </w:pPr>
      <w:r w:rsidRPr="002B2F0B">
        <w:rPr>
          <w:i/>
          <w:iCs/>
          <w:szCs w:val="24"/>
          <w:lang w:eastAsia="fr-FR"/>
        </w:rPr>
        <w:t>Article premier</w:t>
      </w:r>
      <w:r w:rsidRPr="002B2F0B">
        <w:rPr>
          <w:i/>
          <w:iCs/>
          <w:szCs w:val="24"/>
          <w:lang w:eastAsia="fr-FR"/>
        </w:rPr>
        <w:br/>
        <w:t>Objet</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t xml:space="preserve">Le présent règlement instaure une procédure au niveau de l'Union </w:t>
      </w:r>
      <w:r w:rsidRPr="002B2F0B">
        <w:rPr>
          <w:b/>
          <w:bCs/>
          <w:i/>
          <w:iCs/>
          <w:szCs w:val="24"/>
          <w:lang w:eastAsia="fr-FR"/>
        </w:rPr>
        <w:t>permettant</w:t>
      </w:r>
      <w:r w:rsidRPr="002B2F0B">
        <w:rPr>
          <w:szCs w:val="24"/>
          <w:lang w:eastAsia="fr-FR"/>
        </w:rPr>
        <w:t xml:space="preserve"> à un créancier d'obtenir une ordonnance européenne de saisie conservatoire des comptes bancaires (ci</w:t>
      </w:r>
      <w:r w:rsidRPr="002B2F0B">
        <w:rPr>
          <w:szCs w:val="24"/>
          <w:lang w:eastAsia="fr-FR"/>
        </w:rPr>
        <w:noBreakHyphen/>
        <w:t xml:space="preserve">après dénommée </w:t>
      </w:r>
      <w:r w:rsidRPr="002B2F0B">
        <w:rPr>
          <w:b/>
          <w:bCs/>
          <w:i/>
          <w:iCs/>
          <w:szCs w:val="24"/>
          <w:lang w:eastAsia="fr-FR"/>
        </w:rPr>
        <w:t>"ordonnance de saisie conservatoire" ou "ordonnance"</w:t>
      </w:r>
      <w:r w:rsidRPr="002B2F0B">
        <w:rPr>
          <w:szCs w:val="24"/>
          <w:lang w:eastAsia="fr-FR"/>
        </w:rPr>
        <w:t xml:space="preserve">) </w:t>
      </w:r>
      <w:r w:rsidRPr="002B2F0B">
        <w:rPr>
          <w:b/>
          <w:bCs/>
          <w:i/>
          <w:iCs/>
          <w:szCs w:val="24"/>
          <w:lang w:eastAsia="fr-FR"/>
        </w:rPr>
        <w:t xml:space="preserve">qui empêche que le recouvrement ultérieur de sa créance ne soit mis en péril par le transfert ou le retrait de </w:t>
      </w:r>
      <w:r w:rsidRPr="002B2F0B">
        <w:rPr>
          <w:szCs w:val="24"/>
          <w:lang w:eastAsia="fr-FR"/>
        </w:rPr>
        <w:t>fonds</w:t>
      </w:r>
      <w:r w:rsidRPr="002B2F0B">
        <w:rPr>
          <w:b/>
          <w:bCs/>
          <w:i/>
          <w:iCs/>
          <w:szCs w:val="24"/>
          <w:lang w:eastAsia="fr-FR"/>
        </w:rPr>
        <w:t xml:space="preserve">, à concurrence du montant précisé dans l'ordonnance, </w:t>
      </w:r>
      <w:r w:rsidRPr="002B2F0B">
        <w:rPr>
          <w:szCs w:val="24"/>
          <w:lang w:eastAsia="fr-FR"/>
        </w:rPr>
        <w:t>détenus par le débiteur</w:t>
      </w:r>
      <w:r w:rsidRPr="002B2F0B">
        <w:rPr>
          <w:b/>
          <w:bCs/>
          <w:i/>
          <w:iCs/>
          <w:szCs w:val="24"/>
          <w:lang w:eastAsia="fr-FR"/>
        </w:rPr>
        <w:t xml:space="preserve"> ou pour le compte du débiteur </w:t>
      </w:r>
      <w:r w:rsidRPr="002B2F0B">
        <w:rPr>
          <w:szCs w:val="24"/>
          <w:lang w:eastAsia="fr-FR"/>
        </w:rPr>
        <w:t>sur un compte bancaire</w:t>
      </w:r>
      <w:r w:rsidRPr="002B2F0B">
        <w:rPr>
          <w:b/>
          <w:bCs/>
          <w:i/>
          <w:iCs/>
          <w:szCs w:val="24"/>
          <w:lang w:eastAsia="fr-FR"/>
        </w:rPr>
        <w:t xml:space="preserve"> tenu dans un État membre</w:t>
      </w:r>
      <w:r w:rsidRPr="002B2F0B">
        <w:rPr>
          <w:szCs w:val="24"/>
          <w:lang w:eastAsia="fr-FR"/>
        </w:rPr>
        <w:t xml:space="preserve">. </w:t>
      </w:r>
    </w:p>
    <w:p w:rsidR="002022AB" w:rsidRPr="002B2F0B" w:rsidRDefault="002022AB" w:rsidP="00075179">
      <w:pPr>
        <w:spacing w:before="120" w:after="120" w:line="360" w:lineRule="auto"/>
        <w:ind w:left="851" w:hanging="851"/>
        <w:rPr>
          <w:szCs w:val="24"/>
          <w:lang w:eastAsia="fr-FR"/>
        </w:rPr>
      </w:pPr>
      <w:r w:rsidRPr="002B2F0B">
        <w:rPr>
          <w:szCs w:val="24"/>
          <w:lang w:eastAsia="fr-FR"/>
        </w:rPr>
        <w:t>2.</w:t>
      </w:r>
      <w:r w:rsidRPr="002B2F0B">
        <w:rPr>
          <w:szCs w:val="24"/>
          <w:lang w:eastAsia="fr-FR"/>
        </w:rPr>
        <w:tab/>
        <w:t>L'</w:t>
      </w:r>
      <w:r w:rsidRPr="002B2F0B">
        <w:rPr>
          <w:b/>
          <w:bCs/>
          <w:i/>
          <w:iCs/>
          <w:szCs w:val="24"/>
          <w:lang w:eastAsia="fr-FR"/>
        </w:rPr>
        <w:t xml:space="preserve">ordonnance de saisie conservatoire </w:t>
      </w:r>
      <w:r w:rsidRPr="002B2F0B">
        <w:rPr>
          <w:szCs w:val="24"/>
          <w:lang w:eastAsia="fr-FR"/>
        </w:rPr>
        <w:t xml:space="preserve">est à la disposition du créancier comme alternative aux mesures conservatoires </w:t>
      </w:r>
      <w:r w:rsidRPr="002B2F0B">
        <w:rPr>
          <w:b/>
          <w:bCs/>
          <w:i/>
          <w:iCs/>
          <w:szCs w:val="24"/>
          <w:lang w:eastAsia="fr-FR"/>
        </w:rPr>
        <w:t>prévues par le droit national</w:t>
      </w:r>
      <w:r w:rsidRPr="002B2F0B">
        <w:rPr>
          <w:szCs w:val="24"/>
          <w:lang w:eastAsia="fr-FR"/>
        </w:rPr>
        <w:t>.</w:t>
      </w:r>
    </w:p>
    <w:p w:rsidR="002022AB" w:rsidRPr="002B2F0B" w:rsidRDefault="002022AB" w:rsidP="00075179">
      <w:pPr>
        <w:keepNext/>
        <w:spacing w:before="120" w:after="120" w:line="380" w:lineRule="exact"/>
        <w:jc w:val="center"/>
        <w:rPr>
          <w:i/>
          <w:iCs/>
          <w:szCs w:val="24"/>
          <w:lang w:eastAsia="fr-FR"/>
        </w:rPr>
      </w:pPr>
      <w:r w:rsidRPr="002B2F0B">
        <w:rPr>
          <w:i/>
          <w:iCs/>
          <w:szCs w:val="24"/>
          <w:lang w:eastAsia="fr-FR"/>
        </w:rPr>
        <w:br w:type="page"/>
        <w:t>Article 2</w:t>
      </w:r>
      <w:r w:rsidRPr="002B2F0B">
        <w:rPr>
          <w:i/>
          <w:iCs/>
          <w:szCs w:val="24"/>
          <w:lang w:eastAsia="fr-FR"/>
        </w:rPr>
        <w:br/>
        <w:t>Champ d'application</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t xml:space="preserve">Le présent règlement s'applique aux créances pécuniaires en matière civile et commerciale </w:t>
      </w:r>
      <w:r w:rsidRPr="002B2F0B">
        <w:rPr>
          <w:b/>
          <w:bCs/>
          <w:i/>
          <w:iCs/>
          <w:szCs w:val="24"/>
          <w:lang w:eastAsia="fr-FR"/>
        </w:rPr>
        <w:t>dans les litiges</w:t>
      </w:r>
      <w:r w:rsidRPr="002B2F0B">
        <w:rPr>
          <w:szCs w:val="24"/>
          <w:lang w:eastAsia="fr-FR"/>
        </w:rPr>
        <w:t xml:space="preserve"> transfrontières définis à l'article 3, et quelle que soit la nature de la juridiction concernée. Il ne s’applique notamment ni aux matières fiscales, douanières ou administratives </w:t>
      </w:r>
      <w:r w:rsidRPr="002B2F0B">
        <w:rPr>
          <w:b/>
          <w:bCs/>
          <w:i/>
          <w:iCs/>
          <w:szCs w:val="24"/>
          <w:lang w:eastAsia="fr-FR"/>
        </w:rPr>
        <w:t>ni à la responsabilité de l'État pour des actes</w:t>
      </w:r>
      <w:r w:rsidRPr="002B2F0B">
        <w:rPr>
          <w:szCs w:val="24"/>
          <w:lang w:eastAsia="fr-FR"/>
        </w:rPr>
        <w:t xml:space="preserve"> </w:t>
      </w:r>
      <w:r w:rsidRPr="002B2F0B">
        <w:rPr>
          <w:b/>
          <w:bCs/>
          <w:i/>
          <w:iCs/>
          <w:szCs w:val="24"/>
          <w:lang w:eastAsia="fr-FR"/>
        </w:rPr>
        <w:t>ou des omissions commis dans l'exercice de la puissance publique ("acta jure imperii")</w:t>
      </w:r>
      <w:r w:rsidRPr="002B2F0B">
        <w:rPr>
          <w:szCs w:val="24"/>
          <w:lang w:eastAsia="fr-FR"/>
        </w:rPr>
        <w:t xml:space="preserve">. </w:t>
      </w:r>
    </w:p>
    <w:p w:rsidR="002022AB" w:rsidRPr="002B2F0B" w:rsidRDefault="002022AB" w:rsidP="00075179">
      <w:pPr>
        <w:spacing w:before="120" w:after="120" w:line="360" w:lineRule="auto"/>
        <w:ind w:left="851" w:hanging="851"/>
        <w:rPr>
          <w:szCs w:val="24"/>
          <w:lang w:eastAsia="fr-FR"/>
        </w:rPr>
      </w:pPr>
      <w:r w:rsidRPr="002B2F0B">
        <w:rPr>
          <w:szCs w:val="24"/>
          <w:lang w:eastAsia="fr-FR"/>
        </w:rPr>
        <w:t>2.</w:t>
      </w:r>
      <w:r w:rsidRPr="002B2F0B">
        <w:rPr>
          <w:szCs w:val="24"/>
          <w:lang w:eastAsia="fr-FR"/>
        </w:rPr>
        <w:tab/>
        <w:t>Sont exclus de l'application du présent règlement:</w:t>
      </w:r>
    </w:p>
    <w:p w:rsidR="002022AB" w:rsidRPr="002B2F0B" w:rsidRDefault="002022AB" w:rsidP="00075179">
      <w:pPr>
        <w:autoSpaceDE w:val="0"/>
        <w:autoSpaceDN w:val="0"/>
        <w:adjustRightInd w:val="0"/>
        <w:spacing w:before="200" w:after="200"/>
        <w:ind w:left="1418" w:hanging="567"/>
        <w:rPr>
          <w:b/>
          <w:bCs/>
          <w:i/>
          <w:iCs/>
          <w:szCs w:val="24"/>
        </w:rPr>
      </w:pPr>
      <w:r w:rsidRPr="002B2F0B">
        <w:rPr>
          <w:b/>
          <w:bCs/>
          <w:i/>
          <w:iCs/>
          <w:szCs w:val="24"/>
        </w:rPr>
        <w:t>a)</w:t>
      </w:r>
      <w:r w:rsidRPr="002B2F0B">
        <w:rPr>
          <w:b/>
          <w:bCs/>
          <w:i/>
          <w:iCs/>
          <w:szCs w:val="24"/>
        </w:rPr>
        <w:tab/>
      </w:r>
      <w:r w:rsidRPr="002B2F0B">
        <w:rPr>
          <w:b/>
          <w:i/>
          <w:color w:val="000000"/>
          <w:szCs w:val="24"/>
        </w:rPr>
        <w:t xml:space="preserve">les régimes matrimoniaux ou les régimes patrimoniaux relatifs aux </w:t>
      </w:r>
      <w:r w:rsidRPr="002B2F0B">
        <w:rPr>
          <w:b/>
          <w:bCs/>
          <w:i/>
          <w:iCs/>
          <w:szCs w:val="24"/>
        </w:rPr>
        <w:t xml:space="preserve">relations qui, selon la loi qui leur est applicable, sont réputées avoir des effets comparables au mariage; </w:t>
      </w:r>
    </w:p>
    <w:p w:rsidR="002022AB" w:rsidRPr="002B2F0B" w:rsidRDefault="002022AB" w:rsidP="00075179">
      <w:pPr>
        <w:spacing w:before="120" w:after="120" w:line="360" w:lineRule="auto"/>
        <w:ind w:left="1418" w:hanging="567"/>
        <w:rPr>
          <w:b/>
          <w:bCs/>
          <w:i/>
          <w:iCs/>
          <w:szCs w:val="24"/>
          <w:lang w:eastAsia="fr-FR" w:bidi="fr-FR"/>
        </w:rPr>
      </w:pPr>
      <w:r w:rsidRPr="002B2F0B">
        <w:rPr>
          <w:b/>
          <w:bCs/>
          <w:i/>
          <w:iCs/>
          <w:szCs w:val="24"/>
          <w:lang w:eastAsia="fr-FR" w:bidi="fr-FR"/>
        </w:rPr>
        <w:t>b)</w:t>
      </w:r>
      <w:r w:rsidRPr="002B2F0B">
        <w:rPr>
          <w:b/>
          <w:bCs/>
          <w:i/>
          <w:iCs/>
          <w:szCs w:val="24"/>
          <w:lang w:eastAsia="fr-FR" w:bidi="fr-FR"/>
        </w:rPr>
        <w:tab/>
        <w:t xml:space="preserve">les testaments et les successions, y compris les obligations alimentaires résultant d'un décès; </w:t>
      </w:r>
    </w:p>
    <w:p w:rsidR="002022AB" w:rsidRPr="002B2F0B" w:rsidRDefault="002022AB" w:rsidP="00075179">
      <w:pPr>
        <w:spacing w:before="120" w:after="120" w:line="360" w:lineRule="auto"/>
        <w:ind w:left="1418" w:hanging="567"/>
        <w:rPr>
          <w:szCs w:val="24"/>
          <w:lang w:eastAsia="fr-FR" w:bidi="fr-FR"/>
        </w:rPr>
      </w:pPr>
      <w:r w:rsidRPr="002B2F0B">
        <w:rPr>
          <w:szCs w:val="24"/>
          <w:lang w:eastAsia="fr-FR" w:bidi="fr-FR"/>
        </w:rPr>
        <w:t>c)</w:t>
      </w:r>
      <w:r w:rsidRPr="002B2F0B">
        <w:rPr>
          <w:szCs w:val="24"/>
          <w:lang w:eastAsia="fr-FR" w:bidi="fr-FR"/>
        </w:rPr>
        <w:tab/>
      </w:r>
      <w:r w:rsidRPr="002B2F0B">
        <w:rPr>
          <w:b/>
          <w:bCs/>
          <w:i/>
          <w:iCs/>
          <w:szCs w:val="24"/>
          <w:lang w:eastAsia="fr-FR" w:bidi="fr-FR"/>
        </w:rPr>
        <w:t>les créances sur un débiteur à l'encontre duquel des procédures de</w:t>
      </w:r>
      <w:r w:rsidRPr="002B2F0B">
        <w:rPr>
          <w:szCs w:val="24"/>
          <w:lang w:eastAsia="fr-FR" w:bidi="fr-FR"/>
        </w:rPr>
        <w:t xml:space="preserve"> faillite, </w:t>
      </w:r>
      <w:r w:rsidRPr="002B2F0B">
        <w:rPr>
          <w:b/>
          <w:bCs/>
          <w:i/>
          <w:iCs/>
          <w:szCs w:val="24"/>
          <w:lang w:eastAsia="fr-FR" w:bidi="fr-FR"/>
        </w:rPr>
        <w:t>des procédures de liquidation d'entreprises ou d'autres personnes morales insolvables, des procédures de</w:t>
      </w:r>
      <w:r w:rsidRPr="002B2F0B">
        <w:rPr>
          <w:szCs w:val="24"/>
          <w:lang w:eastAsia="fr-FR" w:bidi="fr-FR"/>
        </w:rPr>
        <w:t xml:space="preserve"> concordat </w:t>
      </w:r>
      <w:r w:rsidRPr="002B2F0B">
        <w:rPr>
          <w:b/>
          <w:bCs/>
          <w:i/>
          <w:iCs/>
          <w:szCs w:val="24"/>
          <w:lang w:eastAsia="fr-FR" w:bidi="fr-FR"/>
        </w:rPr>
        <w:t>ou d'</w:t>
      </w:r>
      <w:r w:rsidRPr="002B2F0B">
        <w:rPr>
          <w:szCs w:val="24"/>
          <w:lang w:eastAsia="fr-FR" w:bidi="fr-FR"/>
        </w:rPr>
        <w:t xml:space="preserve">autres procédures </w:t>
      </w:r>
      <w:r w:rsidRPr="002B2F0B">
        <w:rPr>
          <w:b/>
          <w:bCs/>
          <w:i/>
          <w:iCs/>
          <w:szCs w:val="24"/>
          <w:lang w:eastAsia="fr-FR" w:bidi="fr-FR"/>
        </w:rPr>
        <w:t>analogues ont été engagées</w:t>
      </w:r>
      <w:r w:rsidRPr="002B2F0B">
        <w:rPr>
          <w:szCs w:val="24"/>
          <w:lang w:eastAsia="fr-FR" w:bidi="fr-FR"/>
        </w:rPr>
        <w:t>;</w:t>
      </w:r>
    </w:p>
    <w:p w:rsidR="002022AB" w:rsidRPr="002B2F0B" w:rsidRDefault="002022AB" w:rsidP="00075179">
      <w:pPr>
        <w:spacing w:before="120" w:after="120" w:line="360" w:lineRule="auto"/>
        <w:ind w:left="1418" w:hanging="567"/>
        <w:rPr>
          <w:szCs w:val="24"/>
          <w:lang w:eastAsia="fr-FR" w:bidi="fr-FR"/>
        </w:rPr>
      </w:pPr>
      <w:r w:rsidRPr="002B2F0B">
        <w:rPr>
          <w:szCs w:val="24"/>
          <w:lang w:eastAsia="fr-FR" w:bidi="fr-FR"/>
        </w:rPr>
        <w:t>d)</w:t>
      </w:r>
      <w:r w:rsidRPr="002B2F0B">
        <w:rPr>
          <w:szCs w:val="24"/>
          <w:lang w:eastAsia="fr-FR" w:bidi="fr-FR"/>
        </w:rPr>
        <w:tab/>
        <w:t>la sécurité sociale;</w:t>
      </w:r>
    </w:p>
    <w:p w:rsidR="002022AB" w:rsidRPr="002B2F0B" w:rsidRDefault="002022AB" w:rsidP="00075179">
      <w:pPr>
        <w:spacing w:before="120" w:after="120" w:line="360" w:lineRule="auto"/>
        <w:ind w:left="1418" w:hanging="567"/>
        <w:rPr>
          <w:szCs w:val="24"/>
          <w:lang w:eastAsia="fr-FR" w:bidi="fr-FR"/>
        </w:rPr>
      </w:pPr>
      <w:r w:rsidRPr="002B2F0B">
        <w:rPr>
          <w:szCs w:val="24"/>
          <w:lang w:eastAsia="fr-FR" w:bidi="fr-FR"/>
        </w:rPr>
        <w:t>e)</w:t>
      </w:r>
      <w:r w:rsidRPr="002B2F0B">
        <w:rPr>
          <w:szCs w:val="24"/>
          <w:lang w:eastAsia="fr-FR" w:bidi="fr-FR"/>
        </w:rPr>
        <w:tab/>
        <w:t>l'arbitrage.</w:t>
      </w:r>
    </w:p>
    <w:p w:rsidR="002022AB" w:rsidRPr="002B2F0B" w:rsidRDefault="002022AB" w:rsidP="00075179">
      <w:pPr>
        <w:spacing w:before="120" w:after="120" w:line="380" w:lineRule="exact"/>
        <w:ind w:left="851" w:hanging="851"/>
        <w:rPr>
          <w:szCs w:val="24"/>
          <w:lang w:eastAsia="fr-FR" w:bidi="fr-FR"/>
        </w:rPr>
      </w:pPr>
      <w:r w:rsidRPr="002B2F0B">
        <w:rPr>
          <w:szCs w:val="24"/>
          <w:lang w:eastAsia="fr-FR" w:bidi="fr-FR"/>
        </w:rPr>
        <w:br w:type="page"/>
        <w:t>3.</w:t>
      </w:r>
      <w:r w:rsidRPr="002B2F0B">
        <w:rPr>
          <w:szCs w:val="24"/>
          <w:lang w:eastAsia="fr-FR" w:bidi="fr-FR"/>
        </w:rPr>
        <w:tab/>
        <w:t xml:space="preserve">Le présent règlement ne s'applique pas aux comptes bancaires qui, selon le droit ▌de l'État membre dans lequel le compte est </w:t>
      </w:r>
      <w:r w:rsidRPr="002B2F0B">
        <w:rPr>
          <w:b/>
          <w:bCs/>
          <w:i/>
          <w:iCs/>
          <w:szCs w:val="24"/>
          <w:lang w:eastAsia="fr-FR" w:bidi="fr-FR"/>
        </w:rPr>
        <w:t>tenu</w:t>
      </w:r>
      <w:r w:rsidRPr="002B2F0B">
        <w:rPr>
          <w:szCs w:val="24"/>
          <w:lang w:eastAsia="fr-FR" w:bidi="fr-FR"/>
        </w:rPr>
        <w:t xml:space="preserve">, </w:t>
      </w:r>
      <w:r w:rsidRPr="002B2F0B">
        <w:rPr>
          <w:b/>
          <w:bCs/>
          <w:i/>
          <w:iCs/>
          <w:szCs w:val="24"/>
          <w:lang w:eastAsia="fr-FR" w:bidi="fr-FR"/>
        </w:rPr>
        <w:t>ne peuvent faire l'objet d'une</w:t>
      </w:r>
      <w:r w:rsidRPr="002B2F0B">
        <w:rPr>
          <w:szCs w:val="24"/>
          <w:lang w:eastAsia="fr-FR" w:bidi="fr-FR"/>
        </w:rPr>
        <w:t xml:space="preserve"> saisie, </w:t>
      </w:r>
      <w:r w:rsidRPr="002B2F0B">
        <w:rPr>
          <w:b/>
          <w:bCs/>
          <w:i/>
          <w:iCs/>
          <w:szCs w:val="24"/>
          <w:lang w:eastAsia="fr-FR" w:bidi="fr-FR"/>
        </w:rPr>
        <w:t>ni aux comptes tenus en rapport avec le fonctionnement d'un système au sens de l'article 2, point a), de la directive 98/26/CE du Parlement européen et du Conseil</w:t>
      </w:r>
      <w:r w:rsidRPr="002B2F0B">
        <w:rPr>
          <w:b/>
          <w:bCs/>
          <w:szCs w:val="24"/>
          <w:vertAlign w:val="superscript"/>
          <w:lang w:eastAsia="fr-FR" w:bidi="fr-FR"/>
        </w:rPr>
        <w:footnoteReference w:id="72"/>
      </w:r>
      <w:r w:rsidRPr="002B2F0B">
        <w:rPr>
          <w:szCs w:val="24"/>
          <w:lang w:eastAsia="fr-FR" w:bidi="fr-FR"/>
        </w:rPr>
        <w:t xml:space="preserve">. </w:t>
      </w:r>
    </w:p>
    <w:p w:rsidR="002022AB" w:rsidRPr="002B2F0B" w:rsidRDefault="002022AB" w:rsidP="00075179">
      <w:pPr>
        <w:spacing w:before="120" w:after="120" w:line="380" w:lineRule="exact"/>
        <w:ind w:left="851" w:hanging="851"/>
        <w:jc w:val="both"/>
        <w:rPr>
          <w:bCs/>
          <w:szCs w:val="24"/>
          <w:lang w:eastAsia="fr-FR"/>
        </w:rPr>
      </w:pPr>
      <w:r w:rsidRPr="002B2F0B">
        <w:rPr>
          <w:bCs/>
          <w:szCs w:val="24"/>
          <w:lang w:eastAsia="fr-FR"/>
        </w:rPr>
        <w:t>▌</w:t>
      </w:r>
    </w:p>
    <w:p w:rsidR="002022AB" w:rsidRPr="002B2F0B" w:rsidRDefault="002022AB" w:rsidP="00075179">
      <w:pPr>
        <w:spacing w:before="120" w:after="120" w:line="380" w:lineRule="exact"/>
        <w:ind w:left="851" w:hanging="851"/>
        <w:rPr>
          <w:b/>
          <w:i/>
          <w:iCs/>
          <w:szCs w:val="24"/>
          <w:lang w:eastAsia="fr-FR" w:bidi="fr-FR"/>
        </w:rPr>
      </w:pPr>
      <w:r w:rsidRPr="002B2F0B">
        <w:rPr>
          <w:b/>
          <w:i/>
          <w:iCs/>
          <w:szCs w:val="24"/>
          <w:lang w:eastAsia="fr-FR" w:bidi="fr-FR"/>
        </w:rPr>
        <w:t>4.</w:t>
      </w:r>
      <w:r w:rsidRPr="002B2F0B">
        <w:rPr>
          <w:b/>
          <w:i/>
          <w:iCs/>
          <w:szCs w:val="24"/>
          <w:lang w:eastAsia="fr-FR" w:bidi="fr-FR"/>
        </w:rPr>
        <w:tab/>
        <w:t>Le présent règlement ne s'applique pas aux comptes bancaires détenus par ou auprès des banques centrales agissant en leur qualité d'autorités monétaires.</w:t>
      </w:r>
    </w:p>
    <w:p w:rsidR="002022AB" w:rsidRPr="002B2F0B" w:rsidRDefault="002022AB" w:rsidP="00075179">
      <w:pPr>
        <w:keepNext/>
        <w:spacing w:before="120" w:after="120" w:line="380" w:lineRule="exact"/>
        <w:jc w:val="center"/>
        <w:rPr>
          <w:i/>
          <w:iCs/>
          <w:szCs w:val="24"/>
          <w:lang w:eastAsia="fr-FR"/>
        </w:rPr>
      </w:pPr>
      <w:r w:rsidRPr="002B2F0B">
        <w:rPr>
          <w:i/>
          <w:iCs/>
          <w:szCs w:val="24"/>
          <w:lang w:eastAsia="fr-FR"/>
        </w:rPr>
        <w:t>Article 3</w:t>
      </w:r>
      <w:r w:rsidRPr="002B2F0B">
        <w:rPr>
          <w:i/>
          <w:iCs/>
          <w:szCs w:val="24"/>
          <w:lang w:eastAsia="fr-FR"/>
        </w:rPr>
        <w:br/>
        <w:t>Litiges transfrontières</w:t>
      </w:r>
    </w:p>
    <w:p w:rsidR="002022AB" w:rsidRPr="002B2F0B" w:rsidRDefault="002022AB" w:rsidP="00075179">
      <w:pPr>
        <w:spacing w:before="120" w:after="120" w:line="380" w:lineRule="exact"/>
        <w:ind w:left="851" w:hanging="851"/>
        <w:rPr>
          <w:b/>
          <w:bCs/>
          <w:i/>
          <w:iCs/>
          <w:szCs w:val="24"/>
          <w:lang w:eastAsia="fr-FR"/>
        </w:rPr>
      </w:pPr>
      <w:r w:rsidRPr="002B2F0B">
        <w:rPr>
          <w:b/>
          <w:i/>
          <w:iCs/>
          <w:szCs w:val="24"/>
          <w:lang w:eastAsia="fr-FR"/>
        </w:rPr>
        <w:t>1.</w:t>
      </w:r>
      <w:r w:rsidRPr="002B2F0B">
        <w:rPr>
          <w:szCs w:val="24"/>
          <w:lang w:eastAsia="fr-FR"/>
        </w:rPr>
        <w:tab/>
        <w:t xml:space="preserve">Aux fins du présent règlement, </w:t>
      </w:r>
      <w:r w:rsidRPr="002B2F0B">
        <w:rPr>
          <w:b/>
          <w:bCs/>
          <w:i/>
          <w:iCs/>
          <w:szCs w:val="24"/>
          <w:lang w:eastAsia="fr-FR"/>
        </w:rPr>
        <w:t>un litige transfrontière est un litige dans lequel le ou les</w:t>
      </w:r>
      <w:r w:rsidRPr="002B2F0B">
        <w:rPr>
          <w:szCs w:val="24"/>
          <w:lang w:eastAsia="fr-FR"/>
        </w:rPr>
        <w:t xml:space="preserve"> comptes bancaires devant faire l’objet d’une saisie conservatoire par l’effet de l'ordonnance de saisie conservatoire </w:t>
      </w:r>
      <w:r w:rsidRPr="002B2F0B">
        <w:rPr>
          <w:b/>
          <w:bCs/>
          <w:i/>
          <w:iCs/>
          <w:szCs w:val="24"/>
          <w:lang w:eastAsia="fr-FR"/>
        </w:rPr>
        <w:t>sont tenus dans un État membre autre que:</w:t>
      </w:r>
    </w:p>
    <w:p w:rsidR="002022AB" w:rsidRPr="002B2F0B" w:rsidRDefault="002022AB" w:rsidP="00075179">
      <w:pPr>
        <w:spacing w:before="120" w:after="120" w:line="380" w:lineRule="exact"/>
        <w:ind w:left="1418" w:hanging="567"/>
        <w:rPr>
          <w:b/>
          <w:bCs/>
          <w:i/>
          <w:iCs/>
          <w:szCs w:val="24"/>
          <w:lang w:eastAsia="fr-FR"/>
        </w:rPr>
      </w:pPr>
      <w:r w:rsidRPr="002B2F0B">
        <w:rPr>
          <w:b/>
          <w:bCs/>
          <w:i/>
          <w:iCs/>
          <w:szCs w:val="24"/>
          <w:lang w:eastAsia="fr-FR"/>
        </w:rPr>
        <w:t>a)</w:t>
      </w:r>
      <w:r w:rsidRPr="002B2F0B">
        <w:rPr>
          <w:b/>
          <w:bCs/>
          <w:i/>
          <w:iCs/>
          <w:szCs w:val="24"/>
          <w:lang w:eastAsia="fr-FR"/>
        </w:rPr>
        <w:tab/>
        <w:t>l'État membre de la juridiction qui a été saisie de la demande d'ordonnance de saisie conservatoire en vertu de l'article 6; ou</w:t>
      </w:r>
    </w:p>
    <w:p w:rsidR="002022AB" w:rsidRPr="002B2F0B" w:rsidRDefault="002022AB" w:rsidP="00075179">
      <w:pPr>
        <w:spacing w:before="120" w:after="120" w:line="380" w:lineRule="exact"/>
        <w:ind w:left="1418" w:hanging="567"/>
        <w:rPr>
          <w:b/>
          <w:bCs/>
          <w:i/>
          <w:iCs/>
          <w:szCs w:val="24"/>
          <w:lang w:eastAsia="fr-FR"/>
        </w:rPr>
      </w:pPr>
      <w:r w:rsidRPr="002B2F0B">
        <w:rPr>
          <w:b/>
          <w:bCs/>
          <w:i/>
          <w:iCs/>
          <w:szCs w:val="24"/>
          <w:lang w:eastAsia="fr-FR"/>
        </w:rPr>
        <w:t>b)</w:t>
      </w:r>
      <w:r w:rsidRPr="002B2F0B">
        <w:rPr>
          <w:b/>
          <w:bCs/>
          <w:i/>
          <w:iCs/>
          <w:szCs w:val="24"/>
          <w:lang w:eastAsia="fr-FR"/>
        </w:rPr>
        <w:tab/>
        <w:t xml:space="preserve">l'État membre dans lequel le créancier est domicilié. </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2.</w:t>
      </w:r>
      <w:r w:rsidRPr="002B2F0B">
        <w:rPr>
          <w:b/>
          <w:bCs/>
          <w:i/>
          <w:iCs/>
          <w:szCs w:val="24"/>
          <w:lang w:eastAsia="fr-FR"/>
        </w:rPr>
        <w:tab/>
        <w:t>Le moment pertinent pour apprécier le caractère transfrontière d'un litige est celui de la date à laquelle la demande de saisie conservatoire a été introduite auprès de la juridiction compétente pour délivrer l'ordonnance de saisie conservatoire.</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br w:type="page"/>
      </w:r>
    </w:p>
    <w:p w:rsidR="002022AB" w:rsidRPr="002B2F0B" w:rsidRDefault="002022AB" w:rsidP="00075179">
      <w:pPr>
        <w:keepNext/>
        <w:spacing w:before="120" w:after="120" w:line="360" w:lineRule="auto"/>
        <w:jc w:val="center"/>
        <w:rPr>
          <w:i/>
          <w:iCs/>
          <w:szCs w:val="24"/>
          <w:lang w:eastAsia="fr-FR"/>
        </w:rPr>
      </w:pPr>
      <w:r w:rsidRPr="002B2F0B">
        <w:rPr>
          <w:i/>
          <w:iCs/>
          <w:szCs w:val="24"/>
          <w:lang w:eastAsia="fr-FR"/>
        </w:rPr>
        <w:t>Article 4</w:t>
      </w:r>
      <w:r w:rsidRPr="002B2F0B">
        <w:rPr>
          <w:i/>
          <w:iCs/>
          <w:szCs w:val="24"/>
          <w:lang w:eastAsia="fr-FR"/>
        </w:rPr>
        <w:br/>
        <w:t>Définitions</w:t>
      </w:r>
    </w:p>
    <w:p w:rsidR="002022AB" w:rsidRPr="002B2F0B" w:rsidRDefault="002022AB" w:rsidP="00075179">
      <w:pPr>
        <w:widowControl w:val="0"/>
        <w:spacing w:before="120" w:after="120" w:line="360" w:lineRule="auto"/>
        <w:rPr>
          <w:szCs w:val="24"/>
          <w:lang w:eastAsia="fr-FR"/>
        </w:rPr>
      </w:pPr>
      <w:r w:rsidRPr="002B2F0B">
        <w:rPr>
          <w:szCs w:val="24"/>
          <w:lang w:eastAsia="fr-FR"/>
        </w:rPr>
        <w:t>Aux fins du présent règlement, on entend par:</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t xml:space="preserve">"compte bancaire" </w:t>
      </w:r>
      <w:r w:rsidRPr="002B2F0B">
        <w:rPr>
          <w:b/>
          <w:bCs/>
          <w:i/>
          <w:iCs/>
          <w:szCs w:val="24"/>
          <w:lang w:eastAsia="fr-FR"/>
        </w:rPr>
        <w:t>ou "compte"</w:t>
      </w:r>
      <w:r w:rsidRPr="002B2F0B">
        <w:rPr>
          <w:szCs w:val="24"/>
          <w:lang w:eastAsia="fr-FR"/>
        </w:rPr>
        <w:t xml:space="preserve">, tout compte contenant des </w:t>
      </w:r>
      <w:r w:rsidRPr="002B2F0B">
        <w:rPr>
          <w:b/>
          <w:bCs/>
          <w:i/>
          <w:iCs/>
          <w:szCs w:val="24"/>
          <w:lang w:eastAsia="fr-FR"/>
        </w:rPr>
        <w:t>fonds</w:t>
      </w:r>
      <w:r w:rsidRPr="002B2F0B">
        <w:rPr>
          <w:szCs w:val="24"/>
          <w:lang w:eastAsia="fr-FR"/>
        </w:rPr>
        <w:t xml:space="preserve">, détenu auprès d'une banque au nom du </w:t>
      </w:r>
      <w:r w:rsidRPr="002B2F0B">
        <w:rPr>
          <w:b/>
          <w:bCs/>
          <w:i/>
          <w:iCs/>
          <w:szCs w:val="24"/>
          <w:lang w:eastAsia="fr-FR"/>
        </w:rPr>
        <w:t>débiteur</w:t>
      </w:r>
      <w:r w:rsidRPr="002B2F0B">
        <w:rPr>
          <w:szCs w:val="24"/>
          <w:lang w:eastAsia="fr-FR"/>
        </w:rPr>
        <w:t xml:space="preserve"> ou au nom d'un tiers pour le compte du </w:t>
      </w:r>
      <w:r w:rsidRPr="002B2F0B">
        <w:rPr>
          <w:b/>
          <w:bCs/>
          <w:i/>
          <w:iCs/>
          <w:szCs w:val="24"/>
          <w:lang w:eastAsia="fr-FR"/>
        </w:rPr>
        <w:t>débiteur</w:t>
      </w:r>
      <w:r w:rsidRPr="002B2F0B">
        <w:rPr>
          <w:szCs w:val="24"/>
          <w:lang w:eastAsia="fr-FR"/>
        </w:rPr>
        <w:t xml:space="preserve">; </w:t>
      </w:r>
    </w:p>
    <w:p w:rsidR="002022AB" w:rsidRPr="002B2F0B" w:rsidRDefault="002022AB" w:rsidP="00075179">
      <w:pPr>
        <w:spacing w:before="120" w:after="120" w:line="360" w:lineRule="auto"/>
        <w:ind w:left="851" w:hanging="851"/>
        <w:rPr>
          <w:bCs/>
          <w:szCs w:val="24"/>
          <w:lang w:eastAsia="fr-FR"/>
        </w:rPr>
      </w:pPr>
      <w:r w:rsidRPr="002B2F0B">
        <w:rPr>
          <w:b/>
          <w:bCs/>
          <w:i/>
          <w:iCs/>
          <w:szCs w:val="24"/>
          <w:lang w:eastAsia="fr-FR"/>
        </w:rPr>
        <w:t>2</w:t>
      </w:r>
      <w:r w:rsidRPr="002B2F0B">
        <w:rPr>
          <w:szCs w:val="24"/>
          <w:lang w:eastAsia="fr-FR"/>
        </w:rPr>
        <w:t>)</w:t>
      </w:r>
      <w:r w:rsidRPr="002B2F0B">
        <w:rPr>
          <w:szCs w:val="24"/>
          <w:lang w:eastAsia="fr-FR"/>
        </w:rPr>
        <w:tab/>
        <w:t xml:space="preserve">"banque", </w:t>
      </w:r>
      <w:r w:rsidRPr="002B2F0B">
        <w:rPr>
          <w:b/>
          <w:i/>
          <w:iCs/>
          <w:szCs w:val="24"/>
          <w:lang w:eastAsia="fr-FR"/>
        </w:rPr>
        <w:t>un établissement de crédit au sens de l'article 4, paragraphe 1, point 1), du règlement (UE) n° 575/2013 du Parlement européen et du Conseil</w:t>
      </w:r>
      <w:r w:rsidRPr="002B2F0B">
        <w:rPr>
          <w:bCs/>
          <w:i/>
          <w:iCs/>
          <w:szCs w:val="24"/>
          <w:vertAlign w:val="superscript"/>
          <w:lang w:eastAsia="fr-FR"/>
        </w:rPr>
        <w:footnoteReference w:id="73"/>
      </w:r>
      <w:r w:rsidRPr="002B2F0B">
        <w:rPr>
          <w:b/>
          <w:i/>
          <w:iCs/>
          <w:szCs w:val="24"/>
          <w:lang w:eastAsia="fr-FR"/>
        </w:rPr>
        <w:t>, y compris les succursales, au sens de l'article 4, paragraphe 1, point 17) dudit règlement, d'établissements de crédit ayant leur administration centrale à l'intérieur ou, conformément à l'article 47 de la directive 2013/36/UE du Parlement européen et du Conseil</w:t>
      </w:r>
      <w:r w:rsidRPr="002B2F0B">
        <w:rPr>
          <w:bCs/>
          <w:i/>
          <w:iCs/>
          <w:szCs w:val="24"/>
          <w:vertAlign w:val="superscript"/>
          <w:lang w:eastAsia="fr-FR"/>
        </w:rPr>
        <w:t xml:space="preserve"> </w:t>
      </w:r>
      <w:r w:rsidRPr="002B2F0B">
        <w:rPr>
          <w:bCs/>
          <w:i/>
          <w:iCs/>
          <w:szCs w:val="24"/>
          <w:vertAlign w:val="superscript"/>
          <w:lang w:eastAsia="fr-FR"/>
        </w:rPr>
        <w:footnoteReference w:id="74"/>
      </w:r>
      <w:r w:rsidRPr="002B2F0B">
        <w:rPr>
          <w:b/>
          <w:i/>
          <w:iCs/>
          <w:szCs w:val="24"/>
          <w:lang w:eastAsia="fr-FR"/>
        </w:rPr>
        <w:t>, à l'extérieur de l'Union lorsque ces succursales sont situées dans l'Union</w:t>
      </w:r>
      <w:r w:rsidRPr="002B2F0B">
        <w:rPr>
          <w:bCs/>
          <w:szCs w:val="24"/>
          <w:lang w:eastAsia="fr-FR"/>
        </w:rPr>
        <w:t>;</w:t>
      </w:r>
    </w:p>
    <w:p w:rsidR="002022AB" w:rsidRPr="002B2F0B" w:rsidRDefault="002022AB" w:rsidP="00075179">
      <w:pPr>
        <w:spacing w:before="120" w:after="120" w:line="360" w:lineRule="auto"/>
        <w:ind w:left="850"/>
        <w:jc w:val="both"/>
        <w:rPr>
          <w:szCs w:val="24"/>
          <w:lang w:eastAsia="fr-FR" w:bidi="fr-FR"/>
        </w:rPr>
      </w:pPr>
      <w:r w:rsidRPr="002B2F0B">
        <w:rPr>
          <w:szCs w:val="24"/>
          <w:lang w:eastAsia="fr-FR" w:bidi="fr-FR"/>
        </w:rPr>
        <w:br w:type="page"/>
      </w:r>
    </w:p>
    <w:p w:rsidR="002022AB" w:rsidRPr="002B2F0B" w:rsidRDefault="002022AB" w:rsidP="00075179">
      <w:pPr>
        <w:spacing w:before="120" w:after="120" w:line="360" w:lineRule="auto"/>
        <w:ind w:left="851" w:hanging="851"/>
        <w:rPr>
          <w:szCs w:val="24"/>
          <w:lang w:eastAsia="fr-FR"/>
        </w:rPr>
      </w:pPr>
      <w:r w:rsidRPr="002B2F0B">
        <w:rPr>
          <w:b/>
          <w:bCs/>
          <w:i/>
          <w:iCs/>
          <w:szCs w:val="24"/>
          <w:lang w:eastAsia="fr-FR"/>
        </w:rPr>
        <w:t>3</w:t>
      </w:r>
      <w:r w:rsidRPr="002B2F0B">
        <w:rPr>
          <w:szCs w:val="24"/>
          <w:lang w:eastAsia="fr-FR"/>
        </w:rPr>
        <w:t>)</w:t>
      </w:r>
      <w:r w:rsidRPr="002B2F0B">
        <w:rPr>
          <w:szCs w:val="24"/>
          <w:lang w:eastAsia="fr-FR"/>
        </w:rPr>
        <w:tab/>
        <w:t xml:space="preserve">"fonds", </w:t>
      </w:r>
      <w:r w:rsidRPr="002B2F0B">
        <w:rPr>
          <w:b/>
          <w:bCs/>
          <w:i/>
          <w:iCs/>
          <w:szCs w:val="24"/>
          <w:lang w:eastAsia="fr-FR"/>
        </w:rPr>
        <w:t>de l'argent porté au crédit d'un compte dans n'importe quelle monnaie, ou des créances similaires ouvrant droit à la restitution d'argent, tels que des dépôts sur le marché monétaire</w:t>
      </w:r>
      <w:r w:rsidRPr="002B2F0B">
        <w:rPr>
          <w:szCs w:val="24"/>
          <w:lang w:eastAsia="fr-FR"/>
        </w:rPr>
        <w:t xml:space="preserve">; </w:t>
      </w:r>
    </w:p>
    <w:p w:rsidR="002022AB" w:rsidRPr="002B2F0B" w:rsidRDefault="002022AB" w:rsidP="00075179">
      <w:pPr>
        <w:widowControl w:val="0"/>
        <w:spacing w:before="120" w:after="120" w:line="360" w:lineRule="auto"/>
        <w:rPr>
          <w:szCs w:val="24"/>
          <w:lang w:eastAsia="fr-FR"/>
        </w:rPr>
      </w:pPr>
      <w:r w:rsidRPr="002B2F0B">
        <w:rPr>
          <w:szCs w:val="24"/>
          <w:lang w:eastAsia="fr-FR"/>
        </w:rPr>
        <w:t>▌</w:t>
      </w:r>
    </w:p>
    <w:p w:rsidR="002022AB" w:rsidRPr="002B2F0B" w:rsidRDefault="002022AB" w:rsidP="00075179">
      <w:pPr>
        <w:spacing w:before="120" w:after="120" w:line="360" w:lineRule="auto"/>
        <w:ind w:left="851" w:hanging="851"/>
        <w:rPr>
          <w:szCs w:val="24"/>
          <w:lang w:eastAsia="fr-FR"/>
        </w:rPr>
      </w:pPr>
      <w:r w:rsidRPr="002B2F0B">
        <w:rPr>
          <w:szCs w:val="24"/>
          <w:lang w:eastAsia="fr-FR"/>
        </w:rPr>
        <w:t>4)</w:t>
      </w:r>
      <w:r w:rsidRPr="002B2F0B">
        <w:rPr>
          <w:szCs w:val="24"/>
          <w:lang w:eastAsia="fr-FR"/>
        </w:rPr>
        <w:tab/>
        <w:t xml:space="preserve">"État membre dans lequel le compte bancaire est </w:t>
      </w:r>
      <w:r w:rsidRPr="002B2F0B">
        <w:rPr>
          <w:b/>
          <w:bCs/>
          <w:i/>
          <w:iCs/>
          <w:szCs w:val="24"/>
          <w:lang w:eastAsia="fr-FR"/>
        </w:rPr>
        <w:t>tenu</w:t>
      </w:r>
      <w:r w:rsidRPr="002B2F0B">
        <w:rPr>
          <w:szCs w:val="24"/>
          <w:lang w:eastAsia="fr-FR"/>
        </w:rPr>
        <w:t>":</w:t>
      </w:r>
    </w:p>
    <w:p w:rsidR="002022AB" w:rsidRPr="002B2F0B" w:rsidRDefault="002022AB" w:rsidP="00075179">
      <w:pPr>
        <w:spacing w:before="120" w:after="120" w:line="360" w:lineRule="auto"/>
        <w:ind w:left="1418" w:hanging="567"/>
        <w:rPr>
          <w:szCs w:val="24"/>
          <w:lang w:eastAsia="fr-FR"/>
        </w:rPr>
      </w:pPr>
      <w:r w:rsidRPr="002B2F0B">
        <w:rPr>
          <w:szCs w:val="24"/>
          <w:lang w:eastAsia="fr-FR"/>
        </w:rPr>
        <w:t>a)</w:t>
      </w:r>
      <w:r w:rsidRPr="002B2F0B">
        <w:rPr>
          <w:szCs w:val="24"/>
          <w:lang w:eastAsia="fr-FR"/>
        </w:rPr>
        <w:tab/>
        <w:t xml:space="preserve">l'État membre indiqué dans le numéro IBAN </w:t>
      </w:r>
      <w:r w:rsidRPr="002B2F0B">
        <w:rPr>
          <w:b/>
          <w:bCs/>
          <w:i/>
          <w:iCs/>
          <w:szCs w:val="24"/>
          <w:lang w:eastAsia="fr-FR"/>
        </w:rPr>
        <w:t>(Identifiant international de compte bancaire)</w:t>
      </w:r>
      <w:r w:rsidRPr="002B2F0B">
        <w:rPr>
          <w:szCs w:val="24"/>
          <w:lang w:eastAsia="fr-FR"/>
        </w:rPr>
        <w:t xml:space="preserve"> du compte; ou</w:t>
      </w:r>
    </w:p>
    <w:p w:rsidR="002022AB" w:rsidRPr="002B2F0B" w:rsidRDefault="002022AB" w:rsidP="00075179">
      <w:pPr>
        <w:widowControl w:val="0"/>
        <w:autoSpaceDE w:val="0"/>
        <w:autoSpaceDN w:val="0"/>
        <w:adjustRightInd w:val="0"/>
        <w:spacing w:before="120" w:after="120" w:line="360" w:lineRule="auto"/>
        <w:ind w:left="1418" w:hanging="567"/>
        <w:rPr>
          <w:szCs w:val="24"/>
          <w:lang w:eastAsia="fr-FR"/>
        </w:rPr>
      </w:pPr>
      <w:r w:rsidRPr="002B2F0B">
        <w:rPr>
          <w:szCs w:val="24"/>
          <w:lang w:eastAsia="fr-FR"/>
        </w:rPr>
        <w:t>b)</w:t>
      </w:r>
      <w:r w:rsidRPr="002B2F0B">
        <w:rPr>
          <w:szCs w:val="24"/>
          <w:lang w:eastAsia="fr-FR"/>
        </w:rPr>
        <w:tab/>
        <w:t xml:space="preserve">pour un compte bancaire </w:t>
      </w:r>
      <w:r w:rsidRPr="002B2F0B">
        <w:rPr>
          <w:b/>
          <w:bCs/>
          <w:i/>
          <w:iCs/>
          <w:szCs w:val="24"/>
          <w:lang w:eastAsia="fr-FR"/>
        </w:rPr>
        <w:t>ne comportant pas d'IBAN</w:t>
      </w:r>
      <w:r w:rsidRPr="002B2F0B">
        <w:rPr>
          <w:szCs w:val="24"/>
          <w:lang w:eastAsia="fr-FR"/>
        </w:rPr>
        <w:t xml:space="preserve">, l'État membre dans lequel la banque </w:t>
      </w:r>
      <w:r w:rsidRPr="002B2F0B">
        <w:rPr>
          <w:b/>
          <w:bCs/>
          <w:i/>
          <w:iCs/>
          <w:szCs w:val="24"/>
          <w:lang w:eastAsia="fr-FR"/>
        </w:rPr>
        <w:t>auprès de laquelle le compte est détenu a son administration centrale ou, si le compte est détenu auprès d'une succursale, l'État membre dans lequel la succursale est située</w:t>
      </w:r>
      <w:r w:rsidRPr="002B2F0B">
        <w:rPr>
          <w:szCs w:val="24"/>
          <w:lang w:eastAsia="fr-FR"/>
        </w:rPr>
        <w:t>;</w:t>
      </w:r>
    </w:p>
    <w:p w:rsidR="002022AB" w:rsidRPr="002B2F0B" w:rsidRDefault="002022AB" w:rsidP="00075179">
      <w:pPr>
        <w:spacing w:before="120" w:after="120" w:line="380" w:lineRule="exact"/>
        <w:ind w:left="851" w:hanging="851"/>
        <w:rPr>
          <w:szCs w:val="24"/>
          <w:lang w:eastAsia="fr-FR"/>
        </w:rPr>
      </w:pPr>
      <w:r w:rsidRPr="002B2F0B">
        <w:rPr>
          <w:szCs w:val="24"/>
          <w:lang w:eastAsia="fr-FR"/>
        </w:rPr>
        <w:t>5)</w:t>
      </w:r>
      <w:r w:rsidRPr="002B2F0B">
        <w:rPr>
          <w:szCs w:val="24"/>
          <w:lang w:eastAsia="fr-FR"/>
        </w:rPr>
        <w:tab/>
        <w:t>"créance", un droit au paiement d'une somme d'argent d'un montant déterminé</w:t>
      </w:r>
      <w:r w:rsidRPr="002B2F0B">
        <w:rPr>
          <w:b/>
          <w:bCs/>
          <w:i/>
          <w:iCs/>
          <w:szCs w:val="24"/>
          <w:lang w:eastAsia="fr-FR"/>
        </w:rPr>
        <w:t xml:space="preserve"> qui est devenue exigible </w:t>
      </w:r>
      <w:r w:rsidRPr="002B2F0B">
        <w:rPr>
          <w:szCs w:val="24"/>
          <w:lang w:eastAsia="fr-FR"/>
        </w:rPr>
        <w:t>ou</w:t>
      </w:r>
      <w:r w:rsidRPr="002B2F0B">
        <w:rPr>
          <w:b/>
          <w:bCs/>
          <w:i/>
          <w:iCs/>
          <w:szCs w:val="24"/>
          <w:lang w:eastAsia="fr-FR"/>
        </w:rPr>
        <w:t xml:space="preserve"> un droit au paiement d'une somme d'argent d'un montant </w:t>
      </w:r>
      <w:r w:rsidRPr="002B2F0B">
        <w:rPr>
          <w:szCs w:val="24"/>
          <w:lang w:eastAsia="fr-FR"/>
        </w:rPr>
        <w:t>déterminable</w:t>
      </w:r>
      <w:r w:rsidRPr="002B2F0B">
        <w:rPr>
          <w:b/>
          <w:bCs/>
          <w:i/>
          <w:iCs/>
          <w:szCs w:val="24"/>
          <w:lang w:eastAsia="fr-FR"/>
        </w:rPr>
        <w:t xml:space="preserve"> découlant d'une transaction ou d'un événement qui a déjà eu lieu, pour autant que cette créance puisse être produite en justice</w:t>
      </w:r>
      <w:r w:rsidRPr="002B2F0B">
        <w:rPr>
          <w:szCs w:val="24"/>
          <w:lang w:eastAsia="fr-FR"/>
        </w:rPr>
        <w:t>;</w:t>
      </w:r>
    </w:p>
    <w:p w:rsidR="002022AB" w:rsidRPr="002B2F0B" w:rsidRDefault="002022AB" w:rsidP="00075179">
      <w:pPr>
        <w:spacing w:before="120" w:after="120" w:line="360" w:lineRule="auto"/>
        <w:ind w:left="851" w:hanging="851"/>
        <w:rPr>
          <w:b/>
          <w:bCs/>
          <w:i/>
          <w:iCs/>
          <w:szCs w:val="24"/>
          <w:lang w:eastAsia="fr-FR" w:bidi="fr-FR"/>
        </w:rPr>
      </w:pPr>
      <w:r w:rsidRPr="002B2F0B">
        <w:rPr>
          <w:szCs w:val="24"/>
          <w:lang w:eastAsia="fr-FR" w:bidi="fr-FR"/>
        </w:rPr>
        <w:br w:type="page"/>
      </w:r>
      <w:r w:rsidRPr="002B2F0B">
        <w:rPr>
          <w:b/>
          <w:bCs/>
          <w:i/>
          <w:iCs/>
          <w:szCs w:val="24"/>
          <w:lang w:eastAsia="fr-FR" w:bidi="fr-FR"/>
        </w:rPr>
        <w:t>6)</w:t>
      </w:r>
      <w:r w:rsidRPr="002B2F0B">
        <w:rPr>
          <w:b/>
          <w:bCs/>
          <w:i/>
          <w:iCs/>
          <w:szCs w:val="24"/>
          <w:lang w:eastAsia="fr-FR" w:bidi="fr-FR"/>
        </w:rPr>
        <w:tab/>
        <w:t>"créancier", une personne physique domiciliée dans un État membre ou une personne morale domiciliée dans un État membre ou toute autre entité domiciliée dans un État membre ayant la capacité juridique d'ester en justice au titre du droit d'un État membre, qui sollicite, ou a déjà obtenu, une ordonnance de saisie conservatoire concernant une créance;</w:t>
      </w:r>
    </w:p>
    <w:p w:rsidR="002022AB" w:rsidRPr="002B2F0B" w:rsidRDefault="002022AB" w:rsidP="00075179">
      <w:pPr>
        <w:spacing w:before="120" w:after="120" w:line="360" w:lineRule="auto"/>
        <w:ind w:left="851" w:hanging="851"/>
        <w:rPr>
          <w:b/>
          <w:bCs/>
          <w:i/>
          <w:iCs/>
          <w:szCs w:val="24"/>
          <w:lang w:eastAsia="fr-FR" w:bidi="fr-FR"/>
        </w:rPr>
      </w:pPr>
      <w:r w:rsidRPr="002B2F0B">
        <w:rPr>
          <w:b/>
          <w:bCs/>
          <w:i/>
          <w:iCs/>
          <w:szCs w:val="24"/>
          <w:lang w:eastAsia="fr-FR" w:bidi="fr-FR"/>
        </w:rPr>
        <w:t>7)</w:t>
      </w:r>
      <w:r w:rsidRPr="002B2F0B">
        <w:rPr>
          <w:b/>
          <w:bCs/>
          <w:i/>
          <w:iCs/>
          <w:szCs w:val="24"/>
          <w:lang w:eastAsia="fr-FR" w:bidi="fr-FR"/>
        </w:rPr>
        <w:tab/>
        <w:t>"débiteur", une personne physique ou une personne morale ou toute autre entité ayant la capacité juridique d'ester en justice au titre du droit d'un État membre, à l'égard de laquelle le créancier cherche à obtenir, ou a déjà obtenu, une ordonnance de saisie conservatoire concernant une créance;</w:t>
      </w:r>
    </w:p>
    <w:p w:rsidR="002022AB" w:rsidRPr="002B2F0B" w:rsidRDefault="002022AB" w:rsidP="00075179">
      <w:pPr>
        <w:spacing w:before="120" w:after="120" w:line="360" w:lineRule="auto"/>
        <w:ind w:left="851" w:hanging="851"/>
        <w:rPr>
          <w:szCs w:val="24"/>
          <w:lang w:eastAsia="fr-FR" w:bidi="fr-FR"/>
        </w:rPr>
      </w:pPr>
      <w:r w:rsidRPr="002B2F0B">
        <w:rPr>
          <w:szCs w:val="24"/>
          <w:lang w:eastAsia="fr-FR" w:bidi="fr-FR"/>
        </w:rPr>
        <w:t>8)</w:t>
      </w:r>
      <w:r w:rsidRPr="002B2F0B">
        <w:rPr>
          <w:szCs w:val="24"/>
          <w:lang w:eastAsia="fr-FR" w:bidi="fr-FR"/>
        </w:rPr>
        <w:tab/>
        <w:t xml:space="preserve">"décision", toute décision rendue par une juridiction </w:t>
      </w:r>
      <w:r w:rsidRPr="002B2F0B">
        <w:rPr>
          <w:b/>
          <w:bCs/>
          <w:i/>
          <w:iCs/>
          <w:szCs w:val="24"/>
          <w:lang w:eastAsia="fr-FR" w:bidi="fr-FR"/>
        </w:rPr>
        <w:t>d'un État membre</w:t>
      </w:r>
      <w:r w:rsidRPr="002B2F0B">
        <w:rPr>
          <w:szCs w:val="24"/>
          <w:lang w:eastAsia="fr-FR" w:bidi="fr-FR"/>
        </w:rPr>
        <w:t xml:space="preserve"> quelle que soit la dénomination qui lui est donnée, y compris </w:t>
      </w:r>
      <w:r w:rsidRPr="002B2F0B">
        <w:rPr>
          <w:b/>
          <w:bCs/>
          <w:i/>
          <w:iCs/>
          <w:szCs w:val="24"/>
          <w:lang w:eastAsia="fr-FR" w:bidi="fr-FR"/>
        </w:rPr>
        <w:t>une décision sur</w:t>
      </w:r>
      <w:r w:rsidRPr="002B2F0B">
        <w:rPr>
          <w:szCs w:val="24"/>
          <w:lang w:eastAsia="fr-FR" w:bidi="fr-FR"/>
        </w:rPr>
        <w:t xml:space="preserve"> la fixation par le greffier du montant des frais du procès;</w:t>
      </w:r>
    </w:p>
    <w:p w:rsidR="002022AB" w:rsidRPr="002B2F0B" w:rsidRDefault="002022AB" w:rsidP="00075179">
      <w:pPr>
        <w:spacing w:before="120" w:after="120" w:line="360" w:lineRule="auto"/>
        <w:ind w:left="851" w:hanging="851"/>
        <w:rPr>
          <w:szCs w:val="24"/>
          <w:lang w:eastAsia="fr-FR"/>
        </w:rPr>
      </w:pPr>
      <w:r w:rsidRPr="002B2F0B">
        <w:rPr>
          <w:szCs w:val="24"/>
          <w:lang w:eastAsia="fr-FR"/>
        </w:rPr>
        <w:t>▌</w:t>
      </w:r>
    </w:p>
    <w:p w:rsidR="002022AB" w:rsidRPr="002B2F0B" w:rsidRDefault="002022AB" w:rsidP="00075179">
      <w:pPr>
        <w:spacing w:before="120" w:after="120" w:line="360" w:lineRule="auto"/>
        <w:ind w:left="851" w:hanging="851"/>
        <w:rPr>
          <w:rFonts w:eastAsia="EUAlbertina-Regular-Identity-H"/>
          <w:szCs w:val="24"/>
          <w:lang w:eastAsia="fr-FR"/>
        </w:rPr>
      </w:pPr>
      <w:r w:rsidRPr="002B2F0B">
        <w:rPr>
          <w:szCs w:val="24"/>
          <w:lang w:eastAsia="fr-FR"/>
        </w:rPr>
        <w:t>9)</w:t>
      </w:r>
      <w:r w:rsidRPr="002B2F0B">
        <w:rPr>
          <w:szCs w:val="24"/>
          <w:lang w:eastAsia="fr-FR"/>
        </w:rPr>
        <w:tab/>
        <w:t xml:space="preserve">"transaction judiciaire", une transaction qui a été approuvée par une juridiction </w:t>
      </w:r>
      <w:r w:rsidRPr="002B2F0B">
        <w:rPr>
          <w:b/>
          <w:bCs/>
          <w:i/>
          <w:iCs/>
          <w:szCs w:val="24"/>
          <w:lang w:eastAsia="fr-FR"/>
        </w:rPr>
        <w:t>d'un État membre</w:t>
      </w:r>
      <w:r w:rsidRPr="002B2F0B">
        <w:rPr>
          <w:szCs w:val="24"/>
          <w:lang w:eastAsia="fr-FR"/>
        </w:rPr>
        <w:t xml:space="preserve"> ou conclue devant une juridiction </w:t>
      </w:r>
      <w:r w:rsidRPr="002B2F0B">
        <w:rPr>
          <w:b/>
          <w:bCs/>
          <w:i/>
          <w:iCs/>
          <w:szCs w:val="24"/>
          <w:lang w:eastAsia="fr-FR"/>
        </w:rPr>
        <w:t>d'un État membre</w:t>
      </w:r>
      <w:r w:rsidRPr="002B2F0B">
        <w:rPr>
          <w:szCs w:val="24"/>
          <w:lang w:eastAsia="fr-FR"/>
        </w:rPr>
        <w:t xml:space="preserve"> en cours de procédure;</w:t>
      </w:r>
    </w:p>
    <w:p w:rsidR="002022AB" w:rsidRPr="002B2F0B" w:rsidRDefault="002022AB" w:rsidP="00075179">
      <w:pPr>
        <w:spacing w:before="120" w:after="120" w:line="360" w:lineRule="auto"/>
        <w:ind w:left="851" w:hanging="851"/>
        <w:rPr>
          <w:rFonts w:eastAsia="EUAlbertina-Regular-Identity-H"/>
          <w:szCs w:val="24"/>
          <w:lang w:eastAsia="fr-FR"/>
        </w:rPr>
      </w:pPr>
      <w:r w:rsidRPr="002B2F0B">
        <w:rPr>
          <w:szCs w:val="24"/>
          <w:lang w:eastAsia="fr-FR"/>
        </w:rPr>
        <w:t>10)</w:t>
      </w:r>
      <w:r w:rsidRPr="002B2F0B">
        <w:rPr>
          <w:szCs w:val="24"/>
          <w:lang w:eastAsia="fr-FR"/>
        </w:rPr>
        <w:tab/>
        <w:t>"acte authentique", un acte dressé ou enregistré formellement en tant qu'acte authentique dans un État membre et dont l'authenticité:</w:t>
      </w:r>
    </w:p>
    <w:p w:rsidR="002022AB" w:rsidRPr="002B2F0B" w:rsidRDefault="002022AB" w:rsidP="00075179">
      <w:pPr>
        <w:spacing w:before="120" w:after="120" w:line="360" w:lineRule="auto"/>
        <w:ind w:left="1418" w:hanging="567"/>
        <w:rPr>
          <w:szCs w:val="24"/>
          <w:lang w:eastAsia="fr-FR" w:bidi="fr-FR"/>
        </w:rPr>
      </w:pPr>
      <w:r w:rsidRPr="002B2F0B">
        <w:rPr>
          <w:szCs w:val="24"/>
          <w:lang w:eastAsia="fr-FR" w:bidi="fr-FR"/>
        </w:rPr>
        <w:t>a)</w:t>
      </w:r>
      <w:r w:rsidRPr="002B2F0B">
        <w:rPr>
          <w:szCs w:val="24"/>
          <w:lang w:eastAsia="fr-FR" w:bidi="fr-FR"/>
        </w:rPr>
        <w:tab/>
        <w:t>porte sur la signature et le contenu de l'acte; et</w:t>
      </w:r>
    </w:p>
    <w:p w:rsidR="002022AB" w:rsidRPr="002B2F0B" w:rsidRDefault="002022AB" w:rsidP="00075179">
      <w:pPr>
        <w:spacing w:before="120" w:after="120" w:line="360" w:lineRule="auto"/>
        <w:ind w:left="1418" w:hanging="567"/>
        <w:rPr>
          <w:rFonts w:eastAsia="EUAlbertina-Regular-Identity-H"/>
          <w:szCs w:val="24"/>
          <w:lang w:eastAsia="fr-FR" w:bidi="fr-FR"/>
        </w:rPr>
      </w:pPr>
      <w:r w:rsidRPr="002B2F0B">
        <w:rPr>
          <w:szCs w:val="24"/>
          <w:lang w:eastAsia="fr-FR" w:bidi="fr-FR"/>
        </w:rPr>
        <w:br w:type="page"/>
        <w:t>b)</w:t>
      </w:r>
      <w:r w:rsidRPr="002B2F0B">
        <w:rPr>
          <w:szCs w:val="24"/>
          <w:lang w:eastAsia="fr-FR" w:bidi="fr-FR"/>
        </w:rPr>
        <w:tab/>
        <w:t>a été établie par une autorité publique ou toute autre autorité habilitée à le faire;</w:t>
      </w:r>
    </w:p>
    <w:p w:rsidR="002022AB" w:rsidRPr="002B2F0B" w:rsidRDefault="002022AB" w:rsidP="00075179">
      <w:pPr>
        <w:spacing w:before="120" w:after="120" w:line="360" w:lineRule="auto"/>
        <w:ind w:left="851" w:hanging="851"/>
        <w:rPr>
          <w:szCs w:val="24"/>
          <w:lang w:eastAsia="fr-FR"/>
        </w:rPr>
      </w:pPr>
      <w:r w:rsidRPr="002B2F0B">
        <w:rPr>
          <w:szCs w:val="24"/>
          <w:lang w:eastAsia="fr-FR"/>
        </w:rPr>
        <w:t>11)</w:t>
      </w:r>
      <w:r w:rsidRPr="002B2F0B">
        <w:rPr>
          <w:szCs w:val="24"/>
          <w:lang w:eastAsia="fr-FR"/>
        </w:rPr>
        <w:tab/>
        <w:t>"État membre d'origine", l'État membre dans lequel l'</w:t>
      </w:r>
      <w:r w:rsidRPr="002B2F0B">
        <w:rPr>
          <w:b/>
          <w:bCs/>
          <w:i/>
          <w:iCs/>
          <w:szCs w:val="24"/>
          <w:lang w:eastAsia="fr-FR"/>
        </w:rPr>
        <w:t>ordonnance de saisie conservatoire</w:t>
      </w:r>
      <w:r w:rsidRPr="002B2F0B">
        <w:rPr>
          <w:szCs w:val="24"/>
          <w:lang w:eastAsia="fr-FR"/>
        </w:rPr>
        <w:t xml:space="preserve"> a été délivrée;</w:t>
      </w:r>
    </w:p>
    <w:p w:rsidR="002022AB" w:rsidRPr="002B2F0B" w:rsidRDefault="002022AB" w:rsidP="00075179">
      <w:pPr>
        <w:spacing w:before="120" w:after="120" w:line="360" w:lineRule="auto"/>
        <w:ind w:left="851" w:hanging="851"/>
        <w:rPr>
          <w:rFonts w:eastAsia="EUAlbertina-Regular-Identity-H"/>
          <w:szCs w:val="24"/>
          <w:lang w:eastAsia="fr-FR"/>
        </w:rPr>
      </w:pPr>
      <w:r w:rsidRPr="002B2F0B">
        <w:rPr>
          <w:szCs w:val="24"/>
          <w:lang w:eastAsia="fr-FR"/>
        </w:rPr>
        <w:t>12)</w:t>
      </w:r>
      <w:r w:rsidRPr="002B2F0B">
        <w:rPr>
          <w:szCs w:val="24"/>
          <w:lang w:eastAsia="fr-FR"/>
        </w:rPr>
        <w:tab/>
        <w:t xml:space="preserve">"État membre d'exécution", l'État membre dans lequel est </w:t>
      </w:r>
      <w:r w:rsidRPr="002B2F0B">
        <w:rPr>
          <w:b/>
          <w:bCs/>
          <w:i/>
          <w:iCs/>
          <w:szCs w:val="24"/>
          <w:lang w:eastAsia="fr-FR"/>
        </w:rPr>
        <w:t>tenu</w:t>
      </w:r>
      <w:r w:rsidRPr="002B2F0B">
        <w:rPr>
          <w:szCs w:val="24"/>
          <w:lang w:eastAsia="fr-FR"/>
        </w:rPr>
        <w:t xml:space="preserve"> le compte bancaire devant faire l'objet de la saisie conservatoire;</w:t>
      </w:r>
    </w:p>
    <w:p w:rsidR="002022AB" w:rsidRPr="002B2F0B" w:rsidRDefault="002022AB" w:rsidP="00075179">
      <w:pPr>
        <w:spacing w:before="120" w:after="120" w:line="360" w:lineRule="auto"/>
        <w:ind w:left="851" w:hanging="851"/>
        <w:rPr>
          <w:szCs w:val="24"/>
          <w:lang w:eastAsia="fr-FR"/>
        </w:rPr>
      </w:pPr>
      <w:r w:rsidRPr="002B2F0B">
        <w:rPr>
          <w:szCs w:val="24"/>
          <w:lang w:eastAsia="fr-FR"/>
        </w:rPr>
        <w:t>13)</w:t>
      </w:r>
      <w:r w:rsidRPr="002B2F0B">
        <w:rPr>
          <w:szCs w:val="24"/>
          <w:lang w:eastAsia="fr-FR"/>
        </w:rPr>
        <w:tab/>
        <w:t xml:space="preserve">"autorité </w:t>
      </w:r>
      <w:r w:rsidRPr="002B2F0B">
        <w:rPr>
          <w:b/>
          <w:bCs/>
          <w:i/>
          <w:iCs/>
          <w:szCs w:val="24"/>
          <w:lang w:eastAsia="fr-FR"/>
        </w:rPr>
        <w:t>chargée de l'obtention d'informations</w:t>
      </w:r>
      <w:r w:rsidRPr="002B2F0B">
        <w:rPr>
          <w:szCs w:val="24"/>
          <w:lang w:eastAsia="fr-FR"/>
        </w:rPr>
        <w:t xml:space="preserve">", l'autorité </w:t>
      </w:r>
      <w:r w:rsidRPr="002B2F0B">
        <w:rPr>
          <w:b/>
          <w:bCs/>
          <w:i/>
          <w:iCs/>
          <w:szCs w:val="24"/>
          <w:lang w:eastAsia="fr-FR"/>
        </w:rPr>
        <w:t>qu'un</w:t>
      </w:r>
      <w:r w:rsidRPr="002B2F0B">
        <w:rPr>
          <w:szCs w:val="24"/>
          <w:lang w:eastAsia="fr-FR"/>
        </w:rPr>
        <w:t xml:space="preserve"> État membre ▌a désignée comme étant compétente aux fins de l'obtention des informations nécessaires sur le </w:t>
      </w:r>
      <w:r w:rsidRPr="002B2F0B">
        <w:rPr>
          <w:b/>
          <w:bCs/>
          <w:i/>
          <w:iCs/>
          <w:szCs w:val="24"/>
          <w:lang w:eastAsia="fr-FR"/>
        </w:rPr>
        <w:t>ou les</w:t>
      </w:r>
      <w:r w:rsidRPr="002B2F0B">
        <w:rPr>
          <w:szCs w:val="24"/>
          <w:lang w:eastAsia="fr-FR"/>
        </w:rPr>
        <w:t xml:space="preserve"> compte</w:t>
      </w:r>
      <w:r w:rsidRPr="002B2F0B">
        <w:rPr>
          <w:b/>
          <w:bCs/>
          <w:i/>
          <w:iCs/>
          <w:szCs w:val="24"/>
          <w:lang w:eastAsia="fr-FR"/>
        </w:rPr>
        <w:t>s</w:t>
      </w:r>
      <w:r w:rsidRPr="002B2F0B">
        <w:rPr>
          <w:szCs w:val="24"/>
          <w:lang w:eastAsia="fr-FR"/>
        </w:rPr>
        <w:t xml:space="preserve"> du </w:t>
      </w:r>
      <w:r w:rsidRPr="002B2F0B">
        <w:rPr>
          <w:b/>
          <w:bCs/>
          <w:i/>
          <w:iCs/>
          <w:szCs w:val="24"/>
          <w:lang w:eastAsia="fr-FR"/>
        </w:rPr>
        <w:t>débiteur</w:t>
      </w:r>
      <w:r w:rsidRPr="002B2F0B">
        <w:rPr>
          <w:szCs w:val="24"/>
          <w:lang w:eastAsia="fr-FR"/>
        </w:rPr>
        <w:t xml:space="preserve"> en vertu de l'article 14 ▌;</w:t>
      </w:r>
    </w:p>
    <w:p w:rsidR="002022AB" w:rsidRPr="002B2F0B" w:rsidRDefault="002022AB" w:rsidP="00075179">
      <w:pPr>
        <w:spacing w:before="120" w:after="120" w:line="400" w:lineRule="exact"/>
        <w:ind w:left="851" w:hanging="851"/>
        <w:rPr>
          <w:b/>
          <w:bCs/>
          <w:i/>
          <w:iCs/>
          <w:szCs w:val="24"/>
          <w:lang w:eastAsia="fr-FR" w:bidi="fr-FR"/>
        </w:rPr>
      </w:pPr>
      <w:r w:rsidRPr="002B2F0B">
        <w:rPr>
          <w:b/>
          <w:bCs/>
          <w:i/>
          <w:iCs/>
          <w:szCs w:val="24"/>
          <w:lang w:eastAsia="fr-FR" w:bidi="fr-FR"/>
        </w:rPr>
        <w:t>14)</w:t>
      </w:r>
      <w:r w:rsidRPr="002B2F0B">
        <w:rPr>
          <w:b/>
          <w:bCs/>
          <w:i/>
          <w:iCs/>
          <w:szCs w:val="24"/>
          <w:lang w:eastAsia="fr-FR" w:bidi="fr-FR"/>
        </w:rPr>
        <w:tab/>
        <w:t>"autorité compétente", l'autorité ou les autorités qu'un État membre a désignées comme étant compétentes pour la réception, la transmission, la signification ou la notification en vertu de l'article 10, paragraphe 2, de l'article 23, paragraphes 3, 5 et 6, de l'article 25, paragraphe 3, de l'article 27 , paragraphe 2, de l'article 28 , paragraphe 3, et de l'article 36, paragraphe 5, deuxième alinéa;</w:t>
      </w:r>
    </w:p>
    <w:p w:rsidR="002022AB" w:rsidRPr="002B2F0B" w:rsidRDefault="002022AB" w:rsidP="00075179">
      <w:pPr>
        <w:widowControl w:val="0"/>
        <w:spacing w:before="120" w:after="120" w:line="400" w:lineRule="exact"/>
        <w:ind w:left="851" w:hanging="851"/>
        <w:rPr>
          <w:szCs w:val="24"/>
          <w:lang w:eastAsia="fr-FR"/>
        </w:rPr>
      </w:pPr>
      <w:r w:rsidRPr="002B2F0B">
        <w:rPr>
          <w:szCs w:val="24"/>
          <w:lang w:eastAsia="fr-FR"/>
        </w:rPr>
        <w:t>15)</w:t>
      </w:r>
      <w:r w:rsidRPr="002B2F0B">
        <w:rPr>
          <w:szCs w:val="24"/>
          <w:lang w:eastAsia="fr-FR"/>
        </w:rPr>
        <w:tab/>
        <w:t xml:space="preserve">"domicile", le domicile déterminé conformément aux articles </w:t>
      </w:r>
      <w:r w:rsidRPr="002B2F0B">
        <w:rPr>
          <w:b/>
          <w:bCs/>
          <w:i/>
          <w:iCs/>
          <w:szCs w:val="24"/>
          <w:lang w:eastAsia="fr-FR"/>
        </w:rPr>
        <w:t>62</w:t>
      </w:r>
      <w:r w:rsidRPr="002B2F0B">
        <w:rPr>
          <w:szCs w:val="24"/>
          <w:lang w:eastAsia="fr-FR"/>
        </w:rPr>
        <w:t xml:space="preserve"> et </w:t>
      </w:r>
      <w:r w:rsidRPr="002B2F0B">
        <w:rPr>
          <w:b/>
          <w:bCs/>
          <w:i/>
          <w:iCs/>
          <w:szCs w:val="24"/>
          <w:lang w:eastAsia="fr-FR"/>
        </w:rPr>
        <w:t>63</w:t>
      </w:r>
      <w:r w:rsidRPr="002B2F0B">
        <w:rPr>
          <w:szCs w:val="24"/>
          <w:lang w:eastAsia="fr-FR"/>
        </w:rPr>
        <w:t xml:space="preserve"> du </w:t>
      </w:r>
      <w:r w:rsidRPr="002B2F0B">
        <w:rPr>
          <w:szCs w:val="24"/>
          <w:lang w:eastAsia="fr-FR"/>
        </w:rPr>
        <w:br/>
        <w:t xml:space="preserve">règlement </w:t>
      </w:r>
      <w:r w:rsidRPr="002B2F0B">
        <w:rPr>
          <w:b/>
          <w:bCs/>
          <w:i/>
          <w:iCs/>
          <w:szCs w:val="24"/>
          <w:lang w:eastAsia="fr-FR"/>
        </w:rPr>
        <w:t>(UE) n° 1215/2012 du Parlement européen et du Conseil</w:t>
      </w:r>
      <w:r w:rsidRPr="002B2F0B">
        <w:rPr>
          <w:b/>
          <w:bCs/>
          <w:szCs w:val="24"/>
          <w:vertAlign w:val="superscript"/>
          <w:lang w:eastAsia="fr-FR"/>
        </w:rPr>
        <w:footnoteReference w:id="75"/>
      </w:r>
      <w:r w:rsidRPr="002B2F0B">
        <w:rPr>
          <w:szCs w:val="24"/>
          <w:lang w:eastAsia="fr-FR"/>
        </w:rPr>
        <w:t>.</w:t>
      </w:r>
    </w:p>
    <w:p w:rsidR="002022AB" w:rsidRPr="002B2F0B" w:rsidRDefault="002022AB" w:rsidP="00075179">
      <w:pPr>
        <w:widowControl w:val="0"/>
        <w:spacing w:before="120" w:after="120" w:line="400" w:lineRule="exact"/>
        <w:ind w:left="851" w:hanging="851"/>
        <w:rPr>
          <w:szCs w:val="24"/>
          <w:lang w:eastAsia="fr-FR"/>
        </w:rPr>
      </w:pPr>
      <w:r w:rsidRPr="002B2F0B">
        <w:rPr>
          <w:szCs w:val="24"/>
          <w:lang w:eastAsia="fr-FR"/>
        </w:rPr>
        <w:br w:type="page"/>
      </w:r>
    </w:p>
    <w:p w:rsidR="002022AB" w:rsidRPr="002B2F0B" w:rsidRDefault="002022AB" w:rsidP="00075179">
      <w:pPr>
        <w:keepNext/>
        <w:spacing w:before="120" w:after="120" w:line="400" w:lineRule="exact"/>
        <w:jc w:val="center"/>
        <w:rPr>
          <w:b/>
          <w:bCs/>
          <w:sz w:val="32"/>
          <w:szCs w:val="32"/>
          <w:lang w:eastAsia="fr-FR"/>
        </w:rPr>
      </w:pPr>
    </w:p>
    <w:p w:rsidR="002022AB" w:rsidRPr="002B2F0B" w:rsidRDefault="002022AB" w:rsidP="00075179">
      <w:pPr>
        <w:keepNext/>
        <w:spacing w:before="120" w:after="120" w:line="400" w:lineRule="exact"/>
        <w:jc w:val="center"/>
        <w:rPr>
          <w:b/>
          <w:bCs/>
          <w:sz w:val="32"/>
          <w:szCs w:val="32"/>
          <w:lang w:eastAsia="fr-FR"/>
        </w:rPr>
      </w:pPr>
      <w:r w:rsidRPr="002B2F0B">
        <w:rPr>
          <w:b/>
          <w:bCs/>
          <w:sz w:val="32"/>
          <w:szCs w:val="32"/>
          <w:lang w:eastAsia="fr-FR"/>
        </w:rPr>
        <w:t>Chapitre 2</w:t>
      </w:r>
      <w:r w:rsidRPr="002B2F0B">
        <w:rPr>
          <w:b/>
          <w:bCs/>
          <w:sz w:val="32"/>
          <w:szCs w:val="32"/>
          <w:lang w:eastAsia="fr-FR"/>
        </w:rPr>
        <w:br/>
        <w:t xml:space="preserve">Procédure d'obtention d'une </w:t>
      </w:r>
      <w:r w:rsidRPr="002B2F0B">
        <w:rPr>
          <w:b/>
          <w:bCs/>
          <w:i/>
          <w:iCs/>
          <w:sz w:val="32"/>
          <w:szCs w:val="32"/>
          <w:lang w:eastAsia="fr-FR"/>
        </w:rPr>
        <w:t>ordonnance de saisie conservatoire</w:t>
      </w:r>
    </w:p>
    <w:p w:rsidR="002022AB" w:rsidRPr="002B2F0B" w:rsidRDefault="002022AB" w:rsidP="00075179">
      <w:pPr>
        <w:keepNext/>
        <w:spacing w:before="120" w:after="120" w:line="400" w:lineRule="exact"/>
        <w:jc w:val="center"/>
        <w:rPr>
          <w:i/>
          <w:iCs/>
          <w:szCs w:val="24"/>
          <w:lang w:eastAsia="fr-FR"/>
        </w:rPr>
      </w:pPr>
      <w:r w:rsidRPr="002B2F0B">
        <w:rPr>
          <w:i/>
          <w:szCs w:val="24"/>
          <w:lang w:eastAsia="fr-FR"/>
        </w:rPr>
        <w:t>Article 5</w:t>
      </w:r>
      <w:r w:rsidRPr="002B2F0B">
        <w:rPr>
          <w:i/>
          <w:iCs/>
          <w:szCs w:val="24"/>
          <w:lang w:eastAsia="fr-FR"/>
        </w:rPr>
        <w:br/>
      </w:r>
      <w:r w:rsidRPr="002B2F0B">
        <w:rPr>
          <w:i/>
          <w:szCs w:val="24"/>
          <w:lang w:eastAsia="fr-FR"/>
        </w:rPr>
        <w:t>Cas d’ouverture</w:t>
      </w:r>
    </w:p>
    <w:p w:rsidR="002022AB" w:rsidRPr="002B2F0B" w:rsidRDefault="002022AB" w:rsidP="00075179">
      <w:pPr>
        <w:spacing w:before="120" w:after="120" w:line="400" w:lineRule="exact"/>
        <w:rPr>
          <w:bCs/>
          <w:szCs w:val="24"/>
          <w:lang w:eastAsia="fr-FR"/>
        </w:rPr>
      </w:pPr>
      <w:r w:rsidRPr="002B2F0B">
        <w:rPr>
          <w:b/>
          <w:i/>
          <w:iCs/>
          <w:szCs w:val="24"/>
          <w:lang w:eastAsia="fr-FR"/>
        </w:rPr>
        <w:t>Le créancier dispose de la possibilité de recourir à l'ordonnance de saisie conservatoire dans les situations suivantes:</w:t>
      </w:r>
    </w:p>
    <w:p w:rsidR="002022AB" w:rsidRPr="002B2F0B" w:rsidRDefault="002022AB" w:rsidP="00075179">
      <w:pPr>
        <w:spacing w:before="120" w:after="120" w:line="400" w:lineRule="exact"/>
        <w:ind w:left="567" w:hanging="567"/>
        <w:rPr>
          <w:bCs/>
          <w:szCs w:val="24"/>
          <w:lang w:eastAsia="fr-FR"/>
        </w:rPr>
      </w:pPr>
      <w:r w:rsidRPr="002B2F0B">
        <w:rPr>
          <w:bCs/>
          <w:szCs w:val="24"/>
          <w:lang w:eastAsia="fr-FR"/>
        </w:rPr>
        <w:t>a)</w:t>
      </w:r>
      <w:r w:rsidRPr="002B2F0B">
        <w:rPr>
          <w:bCs/>
          <w:szCs w:val="24"/>
          <w:lang w:eastAsia="fr-FR"/>
        </w:rPr>
        <w:tab/>
      </w:r>
      <w:r w:rsidRPr="002B2F0B">
        <w:rPr>
          <w:b/>
          <w:i/>
          <w:iCs/>
          <w:szCs w:val="24"/>
          <w:lang w:eastAsia="fr-FR"/>
        </w:rPr>
        <w:t>avant que le créancier n'engage</w:t>
      </w:r>
      <w:r w:rsidRPr="002B2F0B">
        <w:rPr>
          <w:bCs/>
          <w:szCs w:val="24"/>
          <w:lang w:eastAsia="fr-FR"/>
        </w:rPr>
        <w:t xml:space="preserve"> une procédure au fond</w:t>
      </w:r>
      <w:r w:rsidRPr="002B2F0B">
        <w:rPr>
          <w:b/>
          <w:i/>
          <w:iCs/>
          <w:szCs w:val="24"/>
          <w:lang w:eastAsia="fr-FR"/>
        </w:rPr>
        <w:t xml:space="preserve"> dans un État membre à l'encontre du</w:t>
      </w:r>
      <w:r w:rsidRPr="002B2F0B">
        <w:rPr>
          <w:bCs/>
          <w:szCs w:val="24"/>
          <w:lang w:eastAsia="fr-FR"/>
        </w:rPr>
        <w:t xml:space="preserve"> </w:t>
      </w:r>
      <w:r w:rsidRPr="002B2F0B">
        <w:rPr>
          <w:b/>
          <w:i/>
          <w:iCs/>
          <w:szCs w:val="24"/>
          <w:lang w:eastAsia="fr-FR"/>
        </w:rPr>
        <w:t>débiteur,</w:t>
      </w:r>
      <w:r w:rsidRPr="002B2F0B">
        <w:rPr>
          <w:bCs/>
          <w:szCs w:val="24"/>
          <w:lang w:eastAsia="fr-FR"/>
        </w:rPr>
        <w:t xml:space="preserve"> ou à tout moment au cours de cette procédure</w:t>
      </w:r>
      <w:r w:rsidRPr="002B2F0B">
        <w:rPr>
          <w:b/>
          <w:i/>
          <w:iCs/>
          <w:szCs w:val="24"/>
          <w:lang w:eastAsia="fr-FR"/>
        </w:rPr>
        <w:t xml:space="preserve"> jusqu'au moment où la décision est rendue ou jusqu'à l'approbation ou la conclusion d'une transaction judiciaire</w:t>
      </w:r>
      <w:r w:rsidRPr="002B2F0B">
        <w:rPr>
          <w:bCs/>
          <w:szCs w:val="24"/>
          <w:lang w:eastAsia="fr-FR"/>
        </w:rPr>
        <w:t>;</w:t>
      </w:r>
    </w:p>
    <w:p w:rsidR="002022AB" w:rsidRPr="002B2F0B" w:rsidRDefault="002022AB" w:rsidP="00075179">
      <w:pPr>
        <w:spacing w:before="120" w:after="120" w:line="400" w:lineRule="exact"/>
        <w:ind w:left="567" w:hanging="567"/>
        <w:rPr>
          <w:bCs/>
          <w:szCs w:val="24"/>
          <w:lang w:eastAsia="fr-FR"/>
        </w:rPr>
      </w:pPr>
      <w:r w:rsidRPr="002B2F0B">
        <w:rPr>
          <w:bCs/>
          <w:szCs w:val="24"/>
          <w:lang w:eastAsia="fr-FR"/>
        </w:rPr>
        <w:t>▌</w:t>
      </w:r>
    </w:p>
    <w:p w:rsidR="002022AB" w:rsidRPr="002B2F0B" w:rsidRDefault="002022AB" w:rsidP="00075179">
      <w:pPr>
        <w:spacing w:before="120" w:after="120" w:line="400" w:lineRule="exact"/>
        <w:ind w:left="567" w:hanging="567"/>
        <w:rPr>
          <w:bCs/>
          <w:szCs w:val="24"/>
          <w:lang w:eastAsia="fr-FR"/>
        </w:rPr>
      </w:pPr>
      <w:r w:rsidRPr="002B2F0B">
        <w:rPr>
          <w:b/>
          <w:i/>
          <w:iCs/>
          <w:szCs w:val="24"/>
          <w:lang w:eastAsia="fr-FR"/>
        </w:rPr>
        <w:t>b)</w:t>
      </w:r>
      <w:r w:rsidRPr="002B2F0B">
        <w:rPr>
          <w:b/>
          <w:i/>
          <w:iCs/>
          <w:szCs w:val="24"/>
          <w:lang w:eastAsia="fr-FR"/>
        </w:rPr>
        <w:tab/>
        <w:t>après que le créancier a obtenu, dans un État membre, une décision, une transaction judiciaire ou un acte authentique exigeant du débiteur le paiement de sa créance</w:t>
      </w:r>
      <w:r w:rsidRPr="002B2F0B">
        <w:rPr>
          <w:bCs/>
          <w:szCs w:val="24"/>
          <w:lang w:eastAsia="fr-FR"/>
        </w:rPr>
        <w:t>.</w:t>
      </w:r>
    </w:p>
    <w:p w:rsidR="002022AB" w:rsidRPr="002B2F0B" w:rsidRDefault="002022AB" w:rsidP="00075179">
      <w:pPr>
        <w:spacing w:before="120" w:after="120" w:line="400" w:lineRule="exact"/>
        <w:ind w:left="567" w:hanging="567"/>
        <w:rPr>
          <w:bCs/>
          <w:szCs w:val="24"/>
          <w:lang w:eastAsia="fr-FR"/>
        </w:rPr>
      </w:pPr>
      <w:r w:rsidRPr="002B2F0B">
        <w:rPr>
          <w:bCs/>
          <w:szCs w:val="24"/>
          <w:lang w:eastAsia="fr-FR"/>
        </w:rPr>
        <w:t>▌</w:t>
      </w:r>
    </w:p>
    <w:p w:rsidR="002022AB" w:rsidRPr="002B2F0B" w:rsidRDefault="002022AB" w:rsidP="00075179">
      <w:pPr>
        <w:keepNext/>
        <w:spacing w:before="120" w:after="120" w:line="400" w:lineRule="exact"/>
        <w:jc w:val="center"/>
        <w:rPr>
          <w:i/>
          <w:iCs/>
          <w:szCs w:val="24"/>
          <w:lang w:eastAsia="fr-FR"/>
        </w:rPr>
      </w:pPr>
      <w:r w:rsidRPr="002B2F0B">
        <w:rPr>
          <w:szCs w:val="24"/>
          <w:lang w:eastAsia="fr-FR"/>
        </w:rPr>
        <w:br w:type="page"/>
      </w:r>
      <w:r w:rsidRPr="002B2F0B">
        <w:rPr>
          <w:i/>
          <w:szCs w:val="24"/>
          <w:lang w:eastAsia="fr-FR"/>
        </w:rPr>
        <w:t>Article 6</w:t>
      </w:r>
      <w:r w:rsidRPr="002B2F0B">
        <w:rPr>
          <w:i/>
          <w:iCs/>
          <w:szCs w:val="24"/>
          <w:lang w:eastAsia="fr-FR"/>
        </w:rPr>
        <w:br/>
      </w:r>
      <w:r w:rsidRPr="002B2F0B">
        <w:rPr>
          <w:i/>
          <w:szCs w:val="24"/>
          <w:lang w:eastAsia="fr-FR"/>
        </w:rPr>
        <w:t>Compétence</w:t>
      </w:r>
    </w:p>
    <w:p w:rsidR="002022AB" w:rsidRPr="002B2F0B" w:rsidRDefault="002022AB" w:rsidP="00075179">
      <w:pPr>
        <w:spacing w:before="120" w:after="120" w:line="400" w:lineRule="exact"/>
        <w:ind w:left="850" w:hanging="850"/>
        <w:rPr>
          <w:szCs w:val="24"/>
          <w:lang w:eastAsia="fr-FR"/>
        </w:rPr>
      </w:pPr>
      <w:r w:rsidRPr="002B2F0B">
        <w:rPr>
          <w:szCs w:val="24"/>
          <w:lang w:eastAsia="fr-FR"/>
        </w:rPr>
        <w:t>▌</w:t>
      </w:r>
    </w:p>
    <w:p w:rsidR="002022AB" w:rsidRPr="002B2F0B" w:rsidRDefault="002022AB" w:rsidP="00075179">
      <w:pPr>
        <w:spacing w:before="120" w:after="120" w:line="400" w:lineRule="exact"/>
        <w:ind w:left="850" w:hanging="850"/>
        <w:rPr>
          <w:szCs w:val="24"/>
          <w:lang w:eastAsia="fr-FR"/>
        </w:rPr>
      </w:pPr>
      <w:r w:rsidRPr="002B2F0B">
        <w:rPr>
          <w:szCs w:val="24"/>
          <w:lang w:eastAsia="fr-FR"/>
        </w:rPr>
        <w:t>1.</w:t>
      </w:r>
      <w:r w:rsidRPr="002B2F0B">
        <w:rPr>
          <w:szCs w:val="24"/>
          <w:lang w:eastAsia="fr-FR"/>
        </w:rPr>
        <w:tab/>
      </w:r>
      <w:r w:rsidRPr="002B2F0B">
        <w:rPr>
          <w:b/>
          <w:bCs/>
          <w:i/>
          <w:iCs/>
          <w:szCs w:val="24"/>
          <w:lang w:eastAsia="fr-FR"/>
        </w:rPr>
        <w:t xml:space="preserve">Lorsque le créancier n'a pas encore obtenu une décision, une transaction judiciaire ou un acte authentique, </w:t>
      </w:r>
      <w:r w:rsidRPr="002B2F0B">
        <w:rPr>
          <w:bCs/>
          <w:iCs/>
          <w:szCs w:val="24"/>
          <w:lang w:eastAsia="fr-FR"/>
        </w:rPr>
        <w:t>s</w:t>
      </w:r>
      <w:r w:rsidRPr="002B2F0B">
        <w:rPr>
          <w:szCs w:val="24"/>
          <w:lang w:eastAsia="fr-FR"/>
        </w:rPr>
        <w:t xml:space="preserve">ont compétentes pour délivrer </w:t>
      </w:r>
      <w:r w:rsidRPr="002B2F0B">
        <w:rPr>
          <w:b/>
          <w:bCs/>
          <w:i/>
          <w:iCs/>
          <w:szCs w:val="24"/>
          <w:lang w:eastAsia="fr-FR"/>
        </w:rPr>
        <w:t>une ordonnance de saisie conservatoire</w:t>
      </w:r>
      <w:r w:rsidRPr="002B2F0B">
        <w:rPr>
          <w:szCs w:val="24"/>
          <w:lang w:eastAsia="fr-FR"/>
        </w:rPr>
        <w:t xml:space="preserve"> les juridictions de l'État membre </w:t>
      </w:r>
      <w:r w:rsidRPr="002B2F0B">
        <w:rPr>
          <w:b/>
          <w:bCs/>
          <w:i/>
          <w:iCs/>
          <w:szCs w:val="24"/>
          <w:lang w:eastAsia="fr-FR"/>
        </w:rPr>
        <w:t>qui sont compétentes pour statuer au fond</w:t>
      </w:r>
      <w:r w:rsidRPr="002B2F0B">
        <w:rPr>
          <w:szCs w:val="24"/>
          <w:lang w:eastAsia="fr-FR"/>
        </w:rPr>
        <w:t xml:space="preserve"> ▌conformément aux règles de compétence </w:t>
      </w:r>
      <w:r w:rsidRPr="002B2F0B">
        <w:rPr>
          <w:b/>
          <w:bCs/>
          <w:i/>
          <w:iCs/>
          <w:szCs w:val="24"/>
          <w:lang w:eastAsia="fr-FR"/>
        </w:rPr>
        <w:t>pertinentes</w:t>
      </w:r>
      <w:r w:rsidRPr="002B2F0B">
        <w:rPr>
          <w:szCs w:val="24"/>
          <w:lang w:eastAsia="fr-FR"/>
        </w:rPr>
        <w:t xml:space="preserve"> applicables.</w:t>
      </w:r>
    </w:p>
    <w:p w:rsidR="002022AB" w:rsidRPr="002B2F0B" w:rsidRDefault="002022AB" w:rsidP="00075179">
      <w:pPr>
        <w:spacing w:before="120" w:after="120" w:line="400" w:lineRule="exact"/>
        <w:ind w:left="850" w:hanging="850"/>
        <w:rPr>
          <w:szCs w:val="24"/>
          <w:lang w:eastAsia="fr-FR"/>
        </w:rPr>
      </w:pPr>
      <w:r w:rsidRPr="002B2F0B">
        <w:rPr>
          <w:szCs w:val="24"/>
          <w:lang w:eastAsia="fr-FR"/>
        </w:rPr>
        <w:t>▌</w:t>
      </w:r>
    </w:p>
    <w:p w:rsidR="002022AB" w:rsidRPr="002B2F0B" w:rsidRDefault="002022AB" w:rsidP="00075179">
      <w:pPr>
        <w:spacing w:before="120" w:after="120" w:line="400" w:lineRule="exact"/>
        <w:ind w:left="850" w:hanging="850"/>
        <w:rPr>
          <w:b/>
          <w:bCs/>
          <w:i/>
          <w:iCs/>
          <w:szCs w:val="24"/>
          <w:lang w:eastAsia="fr-FR"/>
        </w:rPr>
      </w:pPr>
      <w:r w:rsidRPr="002B2F0B">
        <w:rPr>
          <w:b/>
          <w:bCs/>
          <w:i/>
          <w:iCs/>
          <w:szCs w:val="24"/>
          <w:lang w:eastAsia="fr-FR"/>
        </w:rPr>
        <w:t>2.</w:t>
      </w:r>
      <w:r w:rsidRPr="002B2F0B">
        <w:rPr>
          <w:b/>
          <w:bCs/>
          <w:i/>
          <w:iCs/>
          <w:szCs w:val="24"/>
          <w:lang w:eastAsia="fr-FR"/>
        </w:rPr>
        <w:tab/>
        <w:t xml:space="preserve">Nonobstant le paragraphe 1, lorsque le débiteur est un consommateur qui a conclu un contrat avec le créancier à des fins pouvant être considérées comme étrangères à l'activité professionnelle du débiteur, les juridictions de l'État membre dans lequel le débiteur est domicilié sont seules compétentes pour délivrer une ordonnance de saisie conservatoire visant à garantir une créance concernant ce contrat. </w:t>
      </w:r>
    </w:p>
    <w:p w:rsidR="002022AB" w:rsidRPr="002B2F0B" w:rsidRDefault="002022AB" w:rsidP="00075179">
      <w:pPr>
        <w:spacing w:before="120" w:after="120" w:line="400" w:lineRule="exact"/>
        <w:ind w:left="850" w:hanging="850"/>
        <w:rPr>
          <w:b/>
          <w:bCs/>
          <w:i/>
          <w:iCs/>
          <w:szCs w:val="24"/>
          <w:lang w:eastAsia="fr-FR"/>
        </w:rPr>
      </w:pPr>
      <w:r w:rsidRPr="002B2F0B">
        <w:rPr>
          <w:b/>
          <w:bCs/>
          <w:i/>
          <w:iCs/>
          <w:szCs w:val="24"/>
          <w:lang w:eastAsia="fr-FR"/>
        </w:rPr>
        <w:t>3.</w:t>
      </w:r>
      <w:r w:rsidRPr="002B2F0B">
        <w:rPr>
          <w:b/>
          <w:bCs/>
          <w:i/>
          <w:iCs/>
          <w:szCs w:val="24"/>
          <w:lang w:eastAsia="fr-FR"/>
        </w:rPr>
        <w:tab/>
        <w:t xml:space="preserve">Lorsque le créancier a déjà obtenu une décision ou une transaction judiciaire, les juridictions de l'État membre dans lequel la décision a été rendue ou la transaction judiciaire a été approuvée ou conclue sont compétentes pour délivrer l'ordonnance de saisie conservatoire pour la créance précisée dans la décision ou la transaction judiciaire. </w:t>
      </w:r>
    </w:p>
    <w:p w:rsidR="002022AB" w:rsidRPr="002B2F0B" w:rsidRDefault="002022AB" w:rsidP="00075179">
      <w:pPr>
        <w:spacing w:before="120" w:after="120" w:line="400" w:lineRule="exact"/>
        <w:ind w:left="850" w:hanging="850"/>
        <w:rPr>
          <w:b/>
          <w:bCs/>
          <w:i/>
          <w:iCs/>
          <w:szCs w:val="24"/>
          <w:lang w:eastAsia="fr-FR"/>
        </w:rPr>
      </w:pPr>
      <w:r w:rsidRPr="002B2F0B">
        <w:rPr>
          <w:b/>
          <w:bCs/>
          <w:i/>
          <w:iCs/>
          <w:szCs w:val="24"/>
          <w:lang w:eastAsia="fr-FR"/>
        </w:rPr>
        <w:br w:type="page"/>
        <w:t>4.</w:t>
      </w:r>
      <w:r w:rsidRPr="002B2F0B">
        <w:rPr>
          <w:b/>
          <w:bCs/>
          <w:i/>
          <w:iCs/>
          <w:szCs w:val="24"/>
          <w:lang w:eastAsia="fr-FR"/>
        </w:rPr>
        <w:tab/>
        <w:t>Lorsque le créancier a obtenu un acte authentique, les juridictions désignées à cet effet dans l'État membre dans lequel ledit acte a été établi sont compétentes pour délivrer une ordonnance de saisie conservatoire pour la créance précisée dans cet acte.</w:t>
      </w:r>
    </w:p>
    <w:p w:rsidR="002022AB" w:rsidRPr="002B2F0B" w:rsidRDefault="002022AB" w:rsidP="00075179">
      <w:pPr>
        <w:spacing w:before="120" w:after="120" w:line="360" w:lineRule="exact"/>
        <w:ind w:left="567"/>
        <w:jc w:val="center"/>
        <w:outlineLvl w:val="0"/>
        <w:rPr>
          <w:i/>
          <w:iCs/>
          <w:szCs w:val="24"/>
          <w:lang w:eastAsia="fr-FR"/>
        </w:rPr>
      </w:pPr>
      <w:r w:rsidRPr="002B2F0B">
        <w:rPr>
          <w:i/>
          <w:szCs w:val="24"/>
          <w:lang w:eastAsia="fr-FR"/>
        </w:rPr>
        <w:t>Article 7</w:t>
      </w:r>
      <w:r w:rsidRPr="002B2F0B">
        <w:rPr>
          <w:i/>
          <w:iCs/>
          <w:szCs w:val="24"/>
          <w:lang w:eastAsia="fr-FR"/>
        </w:rPr>
        <w:br/>
      </w:r>
      <w:r w:rsidRPr="002B2F0B">
        <w:rPr>
          <w:i/>
          <w:szCs w:val="24"/>
          <w:lang w:eastAsia="fr-FR"/>
        </w:rPr>
        <w:t xml:space="preserve">Conditions de délivrance d'une </w:t>
      </w:r>
      <w:r w:rsidRPr="002B2F0B">
        <w:rPr>
          <w:b/>
          <w:bCs/>
          <w:i/>
          <w:szCs w:val="24"/>
          <w:lang w:eastAsia="fr-FR"/>
        </w:rPr>
        <w:t>ordonnance de saisie conservatoire</w:t>
      </w:r>
    </w:p>
    <w:p w:rsidR="002022AB" w:rsidRPr="002B2F0B" w:rsidRDefault="002022AB" w:rsidP="00075179">
      <w:pPr>
        <w:spacing w:before="120" w:after="120" w:line="360" w:lineRule="exact"/>
        <w:ind w:left="850" w:hanging="850"/>
        <w:rPr>
          <w:b/>
          <w:bCs/>
          <w:szCs w:val="24"/>
          <w:lang w:eastAsia="fr-FR"/>
        </w:rPr>
      </w:pPr>
      <w:r w:rsidRPr="002B2F0B">
        <w:rPr>
          <w:szCs w:val="24"/>
          <w:lang w:eastAsia="fr-FR"/>
        </w:rPr>
        <w:t>1.</w:t>
      </w:r>
      <w:r w:rsidRPr="002B2F0B">
        <w:rPr>
          <w:szCs w:val="24"/>
          <w:lang w:eastAsia="fr-FR"/>
        </w:rPr>
        <w:tab/>
      </w:r>
      <w:r w:rsidRPr="002B2F0B">
        <w:rPr>
          <w:b/>
          <w:bCs/>
          <w:i/>
          <w:iCs/>
          <w:szCs w:val="24"/>
          <w:lang w:eastAsia="fr-FR"/>
        </w:rPr>
        <w:t>La juridiction délivre l'ordonnance de saisie conservatoire lorsque le créancier a fourni suffisamment d'éléments de preuve pour la</w:t>
      </w:r>
      <w:r w:rsidRPr="002B2F0B">
        <w:rPr>
          <w:szCs w:val="24"/>
          <w:lang w:eastAsia="fr-FR"/>
        </w:rPr>
        <w:t xml:space="preserve"> convaincre </w:t>
      </w:r>
      <w:r w:rsidRPr="002B2F0B">
        <w:rPr>
          <w:b/>
          <w:bCs/>
          <w:i/>
          <w:iCs/>
          <w:szCs w:val="24"/>
          <w:lang w:eastAsia="fr-FR"/>
        </w:rPr>
        <w:t xml:space="preserve">qu'il est urgent de prendre une mesure conservatoire sous la forme d'une ordonnance de saisie conservatoire parce qu'il existe un risque réel qu'à défaut d'une telle mesure, le recouvrement ultérieur de sa créance soit </w:t>
      </w:r>
      <w:r w:rsidRPr="002B2F0B">
        <w:rPr>
          <w:szCs w:val="24"/>
          <w:lang w:eastAsia="fr-FR"/>
        </w:rPr>
        <w:t>empêché ou rendu sensiblement plus difficile ▌.</w:t>
      </w:r>
    </w:p>
    <w:p w:rsidR="002022AB" w:rsidRPr="002B2F0B" w:rsidRDefault="002022AB" w:rsidP="00075179">
      <w:pPr>
        <w:spacing w:before="120" w:after="120" w:line="360" w:lineRule="auto"/>
        <w:ind w:left="850" w:hanging="850"/>
        <w:rPr>
          <w:bCs/>
          <w:szCs w:val="24"/>
          <w:lang w:eastAsia="fr-FR"/>
        </w:rPr>
      </w:pPr>
      <w:r w:rsidRPr="002B2F0B">
        <w:rPr>
          <w:bCs/>
          <w:szCs w:val="24"/>
          <w:lang w:eastAsia="fr-FR"/>
        </w:rPr>
        <w:t>▌</w:t>
      </w:r>
    </w:p>
    <w:p w:rsidR="002022AB" w:rsidRPr="002B2F0B" w:rsidRDefault="002022AB" w:rsidP="00075179">
      <w:pPr>
        <w:spacing w:before="120" w:after="120" w:line="360" w:lineRule="auto"/>
        <w:ind w:left="850" w:hanging="850"/>
        <w:rPr>
          <w:b/>
          <w:i/>
          <w:iCs/>
          <w:szCs w:val="24"/>
          <w:lang w:eastAsia="fr-FR"/>
        </w:rPr>
      </w:pPr>
      <w:r w:rsidRPr="002B2F0B">
        <w:rPr>
          <w:b/>
          <w:i/>
          <w:iCs/>
          <w:szCs w:val="24"/>
          <w:lang w:eastAsia="fr-FR"/>
        </w:rPr>
        <w:t>2.</w:t>
      </w:r>
      <w:r w:rsidRPr="002B2F0B">
        <w:rPr>
          <w:b/>
          <w:i/>
          <w:iCs/>
          <w:szCs w:val="24"/>
          <w:lang w:eastAsia="fr-FR"/>
        </w:rPr>
        <w:tab/>
        <w:t>Lorsque le créancier n'a pas encore obtenu, dans un État membre, une décision, une transaction judiciaire ou un acte authentique exigeant du débiteur le paiement de sa créance, le créancier fournit également suffisamment d'éléments de preuve pour convaincre la juridiction qu'il sera probablement fait droit à sa demande au fond contre le débiteur.</w:t>
      </w:r>
    </w:p>
    <w:p w:rsidR="002022AB" w:rsidRPr="002B2F0B" w:rsidRDefault="002022AB" w:rsidP="00075179">
      <w:pPr>
        <w:spacing w:before="120" w:after="120" w:line="360" w:lineRule="auto"/>
        <w:ind w:left="850" w:hanging="850"/>
        <w:rPr>
          <w:b/>
          <w:i/>
          <w:iCs/>
          <w:szCs w:val="24"/>
          <w:lang w:eastAsia="fr-FR"/>
        </w:rPr>
      </w:pPr>
      <w:r w:rsidRPr="002B2F0B">
        <w:rPr>
          <w:b/>
          <w:i/>
          <w:iCs/>
          <w:szCs w:val="24"/>
          <w:lang w:eastAsia="fr-FR"/>
        </w:rPr>
        <w:br w:type="page"/>
      </w:r>
    </w:p>
    <w:p w:rsidR="002022AB" w:rsidRPr="002B2F0B" w:rsidRDefault="002022AB" w:rsidP="00075179">
      <w:pPr>
        <w:keepNext/>
        <w:spacing w:before="360" w:after="120" w:line="360" w:lineRule="auto"/>
        <w:jc w:val="center"/>
        <w:rPr>
          <w:i/>
          <w:iCs/>
          <w:szCs w:val="24"/>
          <w:lang w:eastAsia="fr-FR"/>
        </w:rPr>
      </w:pPr>
      <w:r w:rsidRPr="002B2F0B">
        <w:rPr>
          <w:i/>
          <w:szCs w:val="24"/>
          <w:lang w:eastAsia="fr-FR"/>
        </w:rPr>
        <w:t>Article 8</w:t>
      </w:r>
      <w:r w:rsidRPr="002B2F0B">
        <w:rPr>
          <w:i/>
          <w:iCs/>
          <w:szCs w:val="24"/>
          <w:lang w:eastAsia="fr-FR"/>
        </w:rPr>
        <w:br/>
      </w:r>
      <w:r w:rsidRPr="002B2F0B">
        <w:rPr>
          <w:i/>
          <w:szCs w:val="24"/>
          <w:lang w:eastAsia="fr-FR"/>
        </w:rPr>
        <w:t>Demande d'</w:t>
      </w:r>
      <w:r w:rsidRPr="002B2F0B">
        <w:rPr>
          <w:b/>
          <w:bCs/>
          <w:i/>
          <w:szCs w:val="24"/>
          <w:lang w:eastAsia="fr-FR"/>
        </w:rPr>
        <w:t>ordonnance de saisie conservatoire</w:t>
      </w:r>
    </w:p>
    <w:p w:rsidR="002022AB" w:rsidRPr="002B2F0B" w:rsidRDefault="002022AB" w:rsidP="00075179">
      <w:pPr>
        <w:spacing w:before="120" w:after="120" w:line="360" w:lineRule="auto"/>
        <w:ind w:left="850" w:hanging="850"/>
        <w:rPr>
          <w:rFonts w:eastAsia="EUAlbertina-Regular-Identity-H"/>
          <w:szCs w:val="24"/>
          <w:lang w:eastAsia="fr-FR"/>
        </w:rPr>
      </w:pPr>
      <w:r w:rsidRPr="002B2F0B">
        <w:rPr>
          <w:szCs w:val="24"/>
          <w:lang w:eastAsia="fr-FR"/>
        </w:rPr>
        <w:t>1.</w:t>
      </w:r>
      <w:r w:rsidRPr="002B2F0B">
        <w:rPr>
          <w:szCs w:val="24"/>
          <w:lang w:eastAsia="fr-FR"/>
        </w:rPr>
        <w:tab/>
        <w:t>Les demandes d'</w:t>
      </w:r>
      <w:r w:rsidRPr="002B2F0B">
        <w:rPr>
          <w:b/>
          <w:bCs/>
          <w:i/>
          <w:iCs/>
          <w:szCs w:val="24"/>
          <w:lang w:eastAsia="fr-FR"/>
        </w:rPr>
        <w:t>ordonnance de saisie conservatoire</w:t>
      </w:r>
      <w:r w:rsidRPr="002B2F0B">
        <w:rPr>
          <w:szCs w:val="24"/>
          <w:lang w:eastAsia="fr-FR"/>
        </w:rPr>
        <w:t xml:space="preserve"> sont introduites au moyen du formulaire dont le modèle </w:t>
      </w:r>
      <w:r w:rsidRPr="002B2F0B">
        <w:rPr>
          <w:b/>
          <w:bCs/>
          <w:i/>
          <w:iCs/>
          <w:szCs w:val="24"/>
          <w:lang w:eastAsia="fr-FR"/>
        </w:rPr>
        <w:t>est établi conformément à la procédure consultative visée à l'article 52, paragraphe 2</w:t>
      </w:r>
      <w:r w:rsidRPr="002B2F0B">
        <w:rPr>
          <w:szCs w:val="24"/>
          <w:lang w:eastAsia="fr-FR"/>
        </w:rPr>
        <w:t xml:space="preserve">. </w:t>
      </w:r>
    </w:p>
    <w:p w:rsidR="002022AB" w:rsidRPr="002B2F0B" w:rsidRDefault="002022AB" w:rsidP="00075179">
      <w:pPr>
        <w:spacing w:before="120" w:after="120" w:line="360" w:lineRule="auto"/>
        <w:ind w:left="850" w:hanging="850"/>
        <w:rPr>
          <w:rFonts w:eastAsia="EUAlbertina-Regular-Identity-H"/>
          <w:szCs w:val="24"/>
          <w:lang w:eastAsia="fr-FR"/>
        </w:rPr>
      </w:pPr>
      <w:r w:rsidRPr="002B2F0B">
        <w:rPr>
          <w:szCs w:val="24"/>
          <w:lang w:eastAsia="fr-FR"/>
        </w:rPr>
        <w:t>2.</w:t>
      </w:r>
      <w:r w:rsidRPr="002B2F0B">
        <w:rPr>
          <w:szCs w:val="24"/>
          <w:lang w:eastAsia="fr-FR"/>
        </w:rPr>
        <w:tab/>
        <w:t>▌</w:t>
      </w:r>
      <w:r w:rsidRPr="002B2F0B">
        <w:rPr>
          <w:b/>
          <w:bCs/>
          <w:i/>
          <w:iCs/>
          <w:szCs w:val="24"/>
          <w:lang w:eastAsia="fr-FR"/>
        </w:rPr>
        <w:t>La</w:t>
      </w:r>
      <w:r w:rsidRPr="002B2F0B">
        <w:rPr>
          <w:szCs w:val="24"/>
          <w:lang w:eastAsia="fr-FR"/>
        </w:rPr>
        <w:t xml:space="preserve"> demande comprend ▌les informations suivantes:</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a)</w:t>
      </w:r>
      <w:r w:rsidRPr="002B2F0B">
        <w:rPr>
          <w:b/>
          <w:bCs/>
          <w:i/>
          <w:iCs/>
          <w:szCs w:val="24"/>
          <w:lang w:eastAsia="fr-FR"/>
        </w:rPr>
        <w:tab/>
        <w:t>le nom et l'adresse de la juridiction auprès de laquelle la demande est introduite;</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b)</w:t>
      </w:r>
      <w:r w:rsidRPr="002B2F0B">
        <w:rPr>
          <w:b/>
          <w:bCs/>
          <w:i/>
          <w:iCs/>
          <w:szCs w:val="24"/>
          <w:lang w:eastAsia="fr-FR"/>
        </w:rPr>
        <w:tab/>
        <w:t>des renseignements concernant le créancier: nom et coordonnées et, le cas échéant, nom et coordonnées du représentant du créancier, et:</w:t>
      </w:r>
      <w:r w:rsidRPr="002B2F0B">
        <w:rPr>
          <w:b/>
          <w:bCs/>
          <w:i/>
          <w:iCs/>
          <w:szCs w:val="24"/>
          <w:vertAlign w:val="superscript"/>
          <w:lang w:eastAsia="fr-FR"/>
        </w:rPr>
        <w:t xml:space="preserve"> </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w:t>
      </w:r>
      <w:r w:rsidRPr="002B2F0B">
        <w:rPr>
          <w:b/>
          <w:bCs/>
          <w:i/>
          <w:iCs/>
          <w:szCs w:val="24"/>
          <w:lang w:eastAsia="fr-FR"/>
        </w:rPr>
        <w:tab/>
        <w:t xml:space="preserve">dans les cas où le créancier est une personne physique, sa date de naissance ainsi que, le cas échéant et s’il est disponible, son numéro d'identification ou de passeport; ou </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ii)</w:t>
      </w:r>
      <w:r w:rsidRPr="002B2F0B">
        <w:rPr>
          <w:b/>
          <w:bCs/>
          <w:i/>
          <w:iCs/>
          <w:szCs w:val="24"/>
          <w:lang w:eastAsia="fr-FR"/>
        </w:rPr>
        <w:tab/>
        <w:t>dans les cas où le créancier est une personne morale ou toute autre entité ayant la capacité juridique d'ester en justice au titre du droit d'un État membre, l'État du lieu de sa constitution, de sa formation ou de son enregistrement et son numéro d'identification ou d'enregistrement ou, à défaut d'un tel numéro, la date et le lieu de sa constitution, de sa formation ou de son enregistrement;</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br w:type="page"/>
        <w:t xml:space="preserve">c) </w:t>
      </w:r>
      <w:r w:rsidRPr="002B2F0B">
        <w:rPr>
          <w:b/>
          <w:bCs/>
          <w:i/>
          <w:iCs/>
          <w:szCs w:val="24"/>
          <w:lang w:eastAsia="fr-FR"/>
        </w:rPr>
        <w:tab/>
        <w:t>des renseignements concernant le débiteur: nom et coordonnées et, le cas échéant, nom et coordonnées du représentant du débiteur, et, si ces renseignements sont disponibles:</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w:t>
      </w:r>
      <w:r w:rsidRPr="002B2F0B">
        <w:rPr>
          <w:b/>
          <w:bCs/>
          <w:i/>
          <w:iCs/>
          <w:szCs w:val="24"/>
          <w:lang w:eastAsia="fr-FR"/>
        </w:rPr>
        <w:tab/>
        <w:t>dans les cas où le débiteur est une personne physique, sa date de naissance et son numéro d'identification ou de passeport; ou</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ii)</w:t>
      </w:r>
      <w:r w:rsidRPr="002B2F0B">
        <w:rPr>
          <w:b/>
          <w:bCs/>
          <w:i/>
          <w:iCs/>
          <w:szCs w:val="24"/>
          <w:lang w:eastAsia="fr-FR"/>
        </w:rPr>
        <w:tab/>
        <w:t>dans les cas où le débiteur est une personne morale ou toute autre entité ayant la capacité juridique d'ester en justice au titre du droit d'un État membre, l'État du lieu de sa constitution, de sa formation ou de son enregistrement et son numéro d'identification ou d'enregistrement ou, à défaut d'un tel numéro, la date et le lieu de sa constitution, de sa formation ou de son enregistrement;</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 xml:space="preserve">d) </w:t>
      </w:r>
      <w:r w:rsidRPr="002B2F0B">
        <w:rPr>
          <w:b/>
          <w:bCs/>
          <w:i/>
          <w:iCs/>
          <w:szCs w:val="24"/>
          <w:lang w:eastAsia="fr-FR"/>
        </w:rPr>
        <w:tab/>
        <w:t xml:space="preserve">un numéro permettant l'identification de la banque, tel que le code IBAN ou BIC, et/ou le nom et l'adresse de la banque auprès de laquelle le débiteur détient un ou plusieurs comptes devant faire l'objet de la saisie conservatoire; </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 xml:space="preserve">e) </w:t>
      </w:r>
      <w:r w:rsidRPr="002B2F0B">
        <w:rPr>
          <w:b/>
          <w:bCs/>
          <w:i/>
          <w:iCs/>
          <w:szCs w:val="24"/>
          <w:lang w:eastAsia="fr-FR"/>
        </w:rPr>
        <w:tab/>
        <w:t>si le renseignement est disponible, le numéro du ou des comptes devant faire l'objet de la saisie conservatoire et, dans un tel cas, l'indication permettant de savoir si tout autre compte détenu par le débiteur auprès de la même banque devrait ou non faire l'objet de la saisie conservatoire;</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 xml:space="preserve">f) </w:t>
      </w:r>
      <w:r w:rsidRPr="002B2F0B">
        <w:rPr>
          <w:b/>
          <w:bCs/>
          <w:i/>
          <w:iCs/>
          <w:szCs w:val="24"/>
          <w:lang w:eastAsia="fr-FR"/>
        </w:rPr>
        <w:tab/>
        <w:t>dans les cas où aucune des informations exigées au titre du point d) ne peut être fournie, une déclaration indiquant qu'une demande est introduite pour obtenir des informations relatives aux comptes en vertu de l'article 14, lorsqu'une telle demande est possible, et une motivation indiquant les raisons pour lesquelles le créancier pense que le débiteur détient un ou plusieurs comptes auprès d'une banque dans un État membre déterminé;</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br w:type="page"/>
        <w:t xml:space="preserve">g) </w:t>
      </w:r>
      <w:r w:rsidRPr="002B2F0B">
        <w:rPr>
          <w:b/>
          <w:bCs/>
          <w:i/>
          <w:iCs/>
          <w:szCs w:val="24"/>
          <w:lang w:eastAsia="fr-FR"/>
        </w:rPr>
        <w:tab/>
        <w:t xml:space="preserve">le montant pour lequel l'ordonnance de saisie conservatoire est demandée: </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w:t>
      </w:r>
      <w:r w:rsidRPr="002B2F0B">
        <w:rPr>
          <w:b/>
          <w:bCs/>
          <w:i/>
          <w:iCs/>
          <w:szCs w:val="24"/>
          <w:lang w:eastAsia="fr-FR"/>
        </w:rPr>
        <w:tab/>
        <w:t>dans les cas où le créancier n'a pas encore obtenu une décision, une transaction judiciaire ou un acte authentique, le montant du principal de la créance ou une partie de ce montant et le montant de tous les intérêts pouvant être recouvrés en vertu de l'article 15;</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ii)</w:t>
      </w:r>
      <w:r w:rsidRPr="002B2F0B">
        <w:rPr>
          <w:b/>
          <w:bCs/>
          <w:i/>
          <w:iCs/>
          <w:szCs w:val="24"/>
          <w:lang w:eastAsia="fr-FR"/>
        </w:rPr>
        <w:tab/>
        <w:t>dans les cas où le créancier a déjà obtenu une décision, une transaction judiciaire ou un acte authentique, le montant du principal de la créance précisé dans la décision, la transaction judiciaire ou l'acte authentique, ou une partie de ce montant, et le montant de tous les intérêts et frais pouvant être recouvrés en vertu de l'article 15;</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 xml:space="preserve">h) </w:t>
      </w:r>
      <w:r w:rsidRPr="002B2F0B">
        <w:rPr>
          <w:b/>
          <w:bCs/>
          <w:i/>
          <w:iCs/>
          <w:szCs w:val="24"/>
          <w:lang w:eastAsia="fr-FR"/>
        </w:rPr>
        <w:tab/>
        <w:t xml:space="preserve">dans les cas où le créancier n'a pas encore obtenu une décision, une transaction judiciaire ou un acte authentique: </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w:t>
      </w:r>
      <w:r w:rsidRPr="002B2F0B">
        <w:rPr>
          <w:b/>
          <w:bCs/>
          <w:i/>
          <w:iCs/>
          <w:szCs w:val="24"/>
          <w:lang w:eastAsia="fr-FR"/>
        </w:rPr>
        <w:tab/>
        <w:t xml:space="preserve">une description de tous les éléments pertinents justifiant la compétence de la juridiction auprès de laquelle la demande d'ordonnance de saisie conservatoire est introduite; </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t>ii)</w:t>
      </w:r>
      <w:r w:rsidRPr="002B2F0B">
        <w:rPr>
          <w:b/>
          <w:bCs/>
          <w:i/>
          <w:iCs/>
          <w:szCs w:val="24"/>
          <w:lang w:eastAsia="fr-FR"/>
        </w:rPr>
        <w:tab/>
        <w:t xml:space="preserve">une description de toutes les circonstances pertinentes invoquées à l'appui de la créance et, le cas échéant, des intérêts réclamés; </w:t>
      </w:r>
    </w:p>
    <w:p w:rsidR="002022AB" w:rsidRPr="002B2F0B" w:rsidRDefault="002022AB" w:rsidP="00075179">
      <w:pPr>
        <w:spacing w:before="120" w:after="120" w:line="360" w:lineRule="auto"/>
        <w:ind w:left="1985" w:hanging="567"/>
        <w:rPr>
          <w:b/>
          <w:bCs/>
          <w:i/>
          <w:iCs/>
          <w:szCs w:val="24"/>
          <w:lang w:eastAsia="fr-FR"/>
        </w:rPr>
      </w:pPr>
      <w:r w:rsidRPr="002B2F0B">
        <w:rPr>
          <w:b/>
          <w:bCs/>
          <w:i/>
          <w:iCs/>
          <w:szCs w:val="24"/>
          <w:lang w:eastAsia="fr-FR"/>
        </w:rPr>
        <w:t>iii)</w:t>
      </w:r>
      <w:r w:rsidRPr="002B2F0B">
        <w:rPr>
          <w:b/>
          <w:bCs/>
          <w:i/>
          <w:iCs/>
          <w:szCs w:val="24"/>
          <w:lang w:eastAsia="fr-FR"/>
        </w:rPr>
        <w:tab/>
        <w:t>une déclaration indiquant si le créancier a déjà engagé une procédure au fond contre le débiteur;</w:t>
      </w:r>
    </w:p>
    <w:p w:rsidR="002022AB" w:rsidRPr="002B2F0B" w:rsidRDefault="002022AB" w:rsidP="00075179">
      <w:pPr>
        <w:spacing w:before="120" w:after="120" w:line="360" w:lineRule="auto"/>
        <w:ind w:left="1985" w:hanging="567"/>
        <w:rPr>
          <w:rFonts w:eastAsia="EUAlbertina-Regular-Identity-H"/>
          <w:b/>
          <w:bCs/>
          <w:i/>
          <w:iCs/>
          <w:szCs w:val="24"/>
          <w:lang w:eastAsia="fr-FR"/>
        </w:rPr>
      </w:pPr>
      <w:r w:rsidRPr="002B2F0B">
        <w:rPr>
          <w:b/>
          <w:bCs/>
          <w:i/>
          <w:iCs/>
          <w:szCs w:val="24"/>
          <w:lang w:eastAsia="fr-FR"/>
        </w:rPr>
        <w:br w:type="page"/>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 xml:space="preserve">i) </w:t>
      </w:r>
      <w:r w:rsidRPr="002B2F0B">
        <w:rPr>
          <w:b/>
          <w:bCs/>
          <w:i/>
          <w:iCs/>
          <w:szCs w:val="24"/>
          <w:lang w:eastAsia="fr-FR"/>
        </w:rPr>
        <w:tab/>
        <w:t xml:space="preserve">dans les cas où le créancier a déjà obtenu une décision, une transaction judiciaire ou un acte authentique, une déclaration selon laquelle il n'a pas encore été donné suite à la décision, à la transaction judiciaire ou à l'acte authentique ou, dans les cas où il y a été donné suite en partie, une indication de la mesure dans laquelle il n'y a pas encore été donné suite; </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w:t>
      </w:r>
    </w:p>
    <w:p w:rsidR="002022AB" w:rsidRPr="002B2F0B" w:rsidRDefault="002022AB" w:rsidP="00075179">
      <w:pPr>
        <w:spacing w:before="120" w:after="120" w:line="360" w:lineRule="auto"/>
        <w:ind w:left="1417" w:hanging="567"/>
        <w:rPr>
          <w:rFonts w:eastAsia="EUAlbertina-Regular-Identity-H"/>
          <w:szCs w:val="24"/>
          <w:lang w:eastAsia="fr-FR"/>
        </w:rPr>
      </w:pPr>
      <w:r w:rsidRPr="002B2F0B">
        <w:rPr>
          <w:szCs w:val="24"/>
          <w:lang w:eastAsia="fr-FR"/>
        </w:rPr>
        <w:t>j)</w:t>
      </w:r>
      <w:r w:rsidRPr="002B2F0B">
        <w:rPr>
          <w:szCs w:val="24"/>
          <w:lang w:eastAsia="fr-FR"/>
        </w:rPr>
        <w:tab/>
        <w:t>une description de toutes les circonstances pertinentes justifiant la délivrance de l'ordonnance de saisie conservatoire, ainsi que l'exige l'article 7, paragraphe 1 ▌;</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rFonts w:eastAsia="EUAlbertina-Regular-Identity-H"/>
          <w:b/>
          <w:bCs/>
          <w:i/>
          <w:iCs/>
          <w:szCs w:val="24"/>
          <w:lang w:eastAsia="fr-FR"/>
        </w:rPr>
        <w:t>▌</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k)</w:t>
      </w:r>
      <w:r w:rsidRPr="002B2F0B">
        <w:rPr>
          <w:b/>
          <w:bCs/>
          <w:i/>
          <w:iCs/>
          <w:szCs w:val="24"/>
          <w:lang w:eastAsia="fr-FR"/>
        </w:rPr>
        <w:tab/>
        <w:t>le cas échéant, une indication des motifs pour lesquels le créancier considère qu'il devrait être exempté de l'obligation de constituer une garantie en vertu de l’article 12;</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br w:type="page"/>
      </w:r>
    </w:p>
    <w:p w:rsidR="002022AB" w:rsidRPr="002B2F0B" w:rsidRDefault="002022AB" w:rsidP="00075179">
      <w:pPr>
        <w:spacing w:before="120" w:after="120" w:line="360" w:lineRule="auto"/>
        <w:ind w:left="1417" w:hanging="567"/>
        <w:rPr>
          <w:rFonts w:eastAsia="EUAlbertina-Regular-Identity-H"/>
          <w:szCs w:val="24"/>
          <w:lang w:eastAsia="fr-FR"/>
        </w:rPr>
      </w:pPr>
      <w:r w:rsidRPr="002B2F0B">
        <w:rPr>
          <w:szCs w:val="24"/>
          <w:lang w:eastAsia="fr-FR"/>
        </w:rPr>
        <w:t>l)</w:t>
      </w:r>
      <w:r w:rsidRPr="002B2F0B">
        <w:rPr>
          <w:szCs w:val="24"/>
          <w:lang w:eastAsia="fr-FR"/>
        </w:rPr>
        <w:tab/>
        <w:t>une liste des éléments de preuve fournis ▌par le créancier;</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rFonts w:eastAsia="EUAlbertina-Regular-Identity-H"/>
          <w:b/>
          <w:bCs/>
          <w:i/>
          <w:iCs/>
          <w:szCs w:val="24"/>
          <w:lang w:eastAsia="fr-FR"/>
        </w:rPr>
        <w:t>▌</w:t>
      </w:r>
    </w:p>
    <w:p w:rsidR="002022AB" w:rsidRPr="002B2F0B" w:rsidRDefault="002022AB" w:rsidP="00075179">
      <w:pPr>
        <w:spacing w:before="120" w:after="120" w:line="360" w:lineRule="auto"/>
        <w:ind w:left="1417" w:hanging="567"/>
        <w:rPr>
          <w:rFonts w:eastAsia="EUAlbertina-Regular-Identity-H"/>
          <w:b/>
          <w:bCs/>
          <w:i/>
          <w:iCs/>
          <w:szCs w:val="24"/>
          <w:lang w:eastAsia="fr-FR"/>
        </w:rPr>
      </w:pP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m)</w:t>
      </w:r>
      <w:r w:rsidRPr="002B2F0B">
        <w:rPr>
          <w:b/>
          <w:bCs/>
          <w:i/>
          <w:iCs/>
          <w:szCs w:val="24"/>
          <w:lang w:eastAsia="fr-FR"/>
        </w:rPr>
        <w:tab/>
        <w:t xml:space="preserve">une déclaration, telle qu'elle est prévue à l'article 16, indiquant si le créancier a introduit auprès d'autres juridictions ou autorités une demande d'ordonnance équivalente sur le plan national ou si une telle ordonnance a déjà été obtenue ou refusée et, dans le cas où elle a été obtenue, la mesure dans laquelle elle a été mise en œuvre; </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n)</w:t>
      </w:r>
      <w:r w:rsidRPr="002B2F0B">
        <w:rPr>
          <w:b/>
          <w:bCs/>
          <w:i/>
          <w:iCs/>
          <w:szCs w:val="24"/>
          <w:lang w:eastAsia="fr-FR"/>
        </w:rPr>
        <w:tab/>
        <w:t>éventuellement, l'indication du numéro de compte bancaire du créancier que le débiteur peut utiliser pour tout paiement volontaire de la créance;</w:t>
      </w:r>
    </w:p>
    <w:p w:rsidR="002022AB" w:rsidRPr="002B2F0B" w:rsidRDefault="002022AB" w:rsidP="00075179">
      <w:pPr>
        <w:spacing w:before="120" w:after="120" w:line="360" w:lineRule="auto"/>
        <w:ind w:left="1417" w:hanging="567"/>
        <w:rPr>
          <w:rFonts w:eastAsia="EUAlbertina-Regular-Identity-H"/>
          <w:b/>
          <w:bCs/>
          <w:i/>
          <w:iCs/>
          <w:szCs w:val="24"/>
          <w:lang w:eastAsia="fr-FR"/>
        </w:rPr>
      </w:pPr>
      <w:r w:rsidRPr="002B2F0B">
        <w:rPr>
          <w:b/>
          <w:bCs/>
          <w:i/>
          <w:iCs/>
          <w:szCs w:val="24"/>
          <w:lang w:eastAsia="fr-FR"/>
        </w:rPr>
        <w:t>o)</w:t>
      </w:r>
      <w:r w:rsidRPr="002B2F0B">
        <w:rPr>
          <w:b/>
          <w:bCs/>
          <w:i/>
          <w:iCs/>
          <w:szCs w:val="24"/>
          <w:lang w:eastAsia="fr-FR"/>
        </w:rPr>
        <w:tab/>
        <w:t>une déclaration indiquant que les informations fournies par le créancier dans la demande sont, à sa connaissance, véridiques et complètes et que le créancier est conscient que toute déclaration délibérément fausse ou incomplète peut avoir des conséquences juridiques au titre du droit de l'État membre dans lequel la demande est introduite ou engager sa responsabilité en vertu de l'article 13.</w:t>
      </w:r>
    </w:p>
    <w:p w:rsidR="002022AB" w:rsidRPr="002B2F0B" w:rsidRDefault="002022AB" w:rsidP="00075179">
      <w:pPr>
        <w:spacing w:before="120" w:after="120" w:line="360" w:lineRule="auto"/>
        <w:ind w:left="850" w:hanging="850"/>
        <w:rPr>
          <w:rFonts w:eastAsia="EUAlbertina-Regular-Identity-H"/>
          <w:b/>
          <w:bCs/>
          <w:i/>
          <w:iCs/>
          <w:szCs w:val="24"/>
          <w:lang w:eastAsia="fr-FR"/>
        </w:rPr>
      </w:pPr>
      <w:r w:rsidRPr="002B2F0B">
        <w:rPr>
          <w:szCs w:val="24"/>
          <w:lang w:eastAsia="fr-FR"/>
        </w:rPr>
        <w:br w:type="page"/>
      </w:r>
      <w:r w:rsidRPr="002B2F0B">
        <w:rPr>
          <w:b/>
          <w:bCs/>
          <w:i/>
          <w:iCs/>
          <w:szCs w:val="24"/>
          <w:lang w:eastAsia="fr-FR"/>
        </w:rPr>
        <w:t>3.</w:t>
      </w:r>
      <w:r w:rsidRPr="002B2F0B">
        <w:rPr>
          <w:b/>
          <w:bCs/>
          <w:i/>
          <w:iCs/>
          <w:szCs w:val="24"/>
          <w:lang w:eastAsia="fr-FR"/>
        </w:rPr>
        <w:tab/>
        <w:t>La demande est accompagnée de toutes les pièces justificatives utiles et, dans les cas où le créancier a déjà obtenu une décision, une transaction judiciaire ou un acte authentique, d'une copie de la décision, de la transaction judiciaire ou de l'acte authentique réunissant les conditions nécessaires à l'établissement de son authenticité.</w:t>
      </w:r>
    </w:p>
    <w:p w:rsidR="002022AB" w:rsidRPr="002B2F0B" w:rsidRDefault="002022AB" w:rsidP="00075179">
      <w:pPr>
        <w:spacing w:before="120" w:after="120" w:line="360" w:lineRule="auto"/>
        <w:ind w:left="850" w:hanging="850"/>
        <w:rPr>
          <w:szCs w:val="24"/>
          <w:lang w:eastAsia="fr-FR"/>
        </w:rPr>
      </w:pPr>
      <w:r w:rsidRPr="002B2F0B">
        <w:rPr>
          <w:szCs w:val="24"/>
          <w:lang w:eastAsia="fr-FR"/>
        </w:rPr>
        <w:t>▌</w:t>
      </w:r>
    </w:p>
    <w:p w:rsidR="002022AB" w:rsidRPr="002B2F0B" w:rsidRDefault="002022AB" w:rsidP="00075179">
      <w:pPr>
        <w:spacing w:before="120" w:after="120" w:line="360" w:lineRule="auto"/>
        <w:ind w:left="850" w:hanging="850"/>
        <w:rPr>
          <w:szCs w:val="24"/>
          <w:lang w:eastAsia="fr-FR"/>
        </w:rPr>
      </w:pPr>
      <w:r w:rsidRPr="002B2F0B">
        <w:rPr>
          <w:szCs w:val="24"/>
          <w:lang w:eastAsia="fr-FR"/>
        </w:rPr>
        <w:t>4.</w:t>
      </w:r>
      <w:r w:rsidRPr="002B2F0B">
        <w:rPr>
          <w:szCs w:val="24"/>
          <w:lang w:eastAsia="fr-FR"/>
        </w:rPr>
        <w:tab/>
        <w:t xml:space="preserve">La demande </w:t>
      </w:r>
      <w:r w:rsidRPr="002B2F0B">
        <w:rPr>
          <w:b/>
          <w:bCs/>
          <w:i/>
          <w:iCs/>
          <w:szCs w:val="24"/>
          <w:lang w:eastAsia="fr-FR"/>
        </w:rPr>
        <w:t>et les pièces justificatives</w:t>
      </w:r>
      <w:r w:rsidRPr="002B2F0B">
        <w:rPr>
          <w:szCs w:val="24"/>
          <w:lang w:eastAsia="fr-FR"/>
        </w:rPr>
        <w:t xml:space="preserve"> </w:t>
      </w:r>
      <w:r w:rsidRPr="002B2F0B">
        <w:rPr>
          <w:b/>
          <w:i/>
          <w:szCs w:val="24"/>
          <w:lang w:eastAsia="fr-FR"/>
        </w:rPr>
        <w:t>peu</w:t>
      </w:r>
      <w:r w:rsidRPr="002B2F0B">
        <w:rPr>
          <w:b/>
          <w:bCs/>
          <w:i/>
          <w:iCs/>
          <w:szCs w:val="24"/>
          <w:lang w:eastAsia="fr-FR"/>
        </w:rPr>
        <w:t>ven</w:t>
      </w:r>
      <w:r w:rsidRPr="002B2F0B">
        <w:rPr>
          <w:b/>
          <w:i/>
          <w:szCs w:val="24"/>
          <w:lang w:eastAsia="fr-FR"/>
        </w:rPr>
        <w:t>t</w:t>
      </w:r>
      <w:r w:rsidRPr="002B2F0B">
        <w:rPr>
          <w:szCs w:val="24"/>
          <w:lang w:eastAsia="fr-FR"/>
        </w:rPr>
        <w:t xml:space="preserve"> être présentée</w:t>
      </w:r>
      <w:r w:rsidRPr="002B2F0B">
        <w:rPr>
          <w:b/>
          <w:bCs/>
          <w:i/>
          <w:iCs/>
          <w:szCs w:val="24"/>
          <w:lang w:eastAsia="fr-FR"/>
        </w:rPr>
        <w:t>s</w:t>
      </w:r>
      <w:r w:rsidRPr="002B2F0B">
        <w:rPr>
          <w:szCs w:val="24"/>
          <w:lang w:eastAsia="fr-FR"/>
        </w:rPr>
        <w:t xml:space="preserve"> par tout moyen de communication, y compris électronique</w:t>
      </w:r>
      <w:r w:rsidRPr="002B2F0B">
        <w:rPr>
          <w:b/>
          <w:bCs/>
          <w:i/>
          <w:iCs/>
          <w:szCs w:val="24"/>
          <w:lang w:eastAsia="fr-FR"/>
        </w:rPr>
        <w:t>, qui est accepté en vertu des règles de procédure de l'État membre dans lequel la demande est introduite</w:t>
      </w:r>
      <w:r w:rsidRPr="002B2F0B">
        <w:rPr>
          <w:szCs w:val="24"/>
          <w:lang w:eastAsia="fr-FR"/>
        </w:rPr>
        <w:t>.</w:t>
      </w:r>
    </w:p>
    <w:p w:rsidR="002022AB" w:rsidRPr="002B2F0B" w:rsidRDefault="002022AB" w:rsidP="00075179">
      <w:pPr>
        <w:spacing w:before="120" w:after="120" w:line="360" w:lineRule="auto"/>
        <w:ind w:left="850" w:hanging="850"/>
        <w:rPr>
          <w:szCs w:val="24"/>
          <w:lang w:eastAsia="fr-FR"/>
        </w:rPr>
      </w:pPr>
      <w:r w:rsidRPr="002B2F0B">
        <w:rPr>
          <w:szCs w:val="24"/>
          <w:lang w:eastAsia="fr-FR"/>
        </w:rPr>
        <w:t>▌</w:t>
      </w:r>
    </w:p>
    <w:p w:rsidR="002022AB" w:rsidRPr="002B2F0B" w:rsidRDefault="002022AB" w:rsidP="00075179">
      <w:pPr>
        <w:widowControl w:val="0"/>
        <w:jc w:val="right"/>
        <w:rPr>
          <w:b/>
          <w:bCs/>
          <w:i/>
          <w:iCs/>
          <w:szCs w:val="24"/>
          <w:lang w:eastAsia="fr-FR"/>
        </w:rPr>
      </w:pPr>
      <w:r w:rsidRPr="002B2F0B">
        <w:rPr>
          <w:b/>
          <w:bCs/>
          <w:szCs w:val="24"/>
          <w:lang w:eastAsia="fr-FR"/>
        </w:rPr>
        <w:br w:type="page"/>
      </w:r>
    </w:p>
    <w:p w:rsidR="002022AB" w:rsidRPr="002B2F0B" w:rsidRDefault="002022AB" w:rsidP="00075179">
      <w:pPr>
        <w:keepNext/>
        <w:spacing w:before="360" w:after="120" w:line="360" w:lineRule="auto"/>
        <w:jc w:val="center"/>
        <w:rPr>
          <w:i/>
          <w:iCs/>
          <w:szCs w:val="24"/>
          <w:lang w:eastAsia="fr-FR"/>
        </w:rPr>
      </w:pPr>
      <w:r w:rsidRPr="002B2F0B">
        <w:rPr>
          <w:i/>
          <w:szCs w:val="24"/>
          <w:lang w:eastAsia="fr-FR"/>
        </w:rPr>
        <w:t>Article 9</w:t>
      </w:r>
      <w:r w:rsidRPr="002B2F0B">
        <w:rPr>
          <w:i/>
          <w:iCs/>
          <w:szCs w:val="24"/>
          <w:lang w:eastAsia="fr-FR"/>
        </w:rPr>
        <w:br/>
      </w:r>
      <w:r w:rsidRPr="002B2F0B">
        <w:rPr>
          <w:b/>
          <w:bCs/>
          <w:i/>
          <w:szCs w:val="24"/>
          <w:lang w:eastAsia="fr-FR"/>
        </w:rPr>
        <w:t>Obtention de preuves</w:t>
      </w:r>
    </w:p>
    <w:p w:rsidR="002022AB" w:rsidRPr="002B2F0B" w:rsidRDefault="002022AB" w:rsidP="00075179">
      <w:pPr>
        <w:spacing w:before="120" w:after="120" w:line="360" w:lineRule="auto"/>
        <w:ind w:left="850" w:hanging="850"/>
        <w:rPr>
          <w:b/>
          <w:bCs/>
          <w:i/>
          <w:iCs/>
          <w:szCs w:val="24"/>
          <w:lang w:eastAsia="fr-FR"/>
        </w:rPr>
      </w:pPr>
      <w:r w:rsidRPr="002B2F0B">
        <w:rPr>
          <w:b/>
          <w:bCs/>
          <w:i/>
          <w:iCs/>
          <w:szCs w:val="24"/>
          <w:lang w:eastAsia="fr-FR"/>
        </w:rPr>
        <w:t>1.</w:t>
      </w:r>
      <w:r w:rsidRPr="002B2F0B">
        <w:rPr>
          <w:b/>
          <w:bCs/>
          <w:i/>
          <w:iCs/>
          <w:szCs w:val="24"/>
          <w:lang w:eastAsia="fr-FR"/>
        </w:rPr>
        <w:tab/>
        <w:t>La juridiction statue, par voie de procédure écrite, en se fondant sur les informations et les éléments de preuve fournis par le créancier dans ou avec sa demande. Si la juridiction estime que les éléments de preuve fournis sont insuffisants, elle peut demander au créancier, lorsque le droit national le permet, de fournir des éléments de preuve documentaires supplémentaires.</w:t>
      </w:r>
    </w:p>
    <w:p w:rsidR="002022AB" w:rsidRPr="002B2F0B" w:rsidRDefault="002022AB" w:rsidP="00075179">
      <w:pPr>
        <w:spacing w:before="120" w:after="120" w:line="360" w:lineRule="auto"/>
        <w:ind w:left="850" w:hanging="850"/>
        <w:rPr>
          <w:b/>
          <w:bCs/>
          <w:i/>
          <w:iCs/>
          <w:szCs w:val="24"/>
          <w:lang w:eastAsia="fr-FR"/>
        </w:rPr>
      </w:pPr>
      <w:r w:rsidRPr="002B2F0B">
        <w:rPr>
          <w:b/>
          <w:bCs/>
          <w:i/>
          <w:iCs/>
          <w:szCs w:val="24"/>
          <w:lang w:eastAsia="fr-FR"/>
        </w:rPr>
        <w:t>2.</w:t>
      </w:r>
      <w:r w:rsidRPr="002B2F0B">
        <w:rPr>
          <w:b/>
          <w:bCs/>
          <w:i/>
          <w:iCs/>
          <w:szCs w:val="24"/>
          <w:lang w:eastAsia="fr-FR"/>
        </w:rPr>
        <w:tab/>
        <w:t>Nonobstant le paragraphe 1 et sous réserve de l'article 11, la juridiction peut, pour autant que la procédure n'en soit pas indûment retardée, utiliser également toute autre méthode appropriée dont elle dispose au titre de son droit national pour obtenir des éléments de preuve, telle qu'une audition du créancier ou de son ou ses témoins, y compris par vidéoconférence ou une autre technologie de communication.</w:t>
      </w:r>
    </w:p>
    <w:p w:rsidR="002022AB" w:rsidRPr="002B2F0B" w:rsidRDefault="002022AB" w:rsidP="00075179">
      <w:pPr>
        <w:spacing w:before="120" w:after="120" w:line="360" w:lineRule="auto"/>
        <w:ind w:left="850" w:hanging="850"/>
        <w:rPr>
          <w:b/>
          <w:bCs/>
          <w:i/>
          <w:iCs/>
          <w:szCs w:val="24"/>
          <w:lang w:eastAsia="fr-FR"/>
        </w:rPr>
      </w:pPr>
      <w:r w:rsidRPr="002B2F0B">
        <w:rPr>
          <w:b/>
          <w:bCs/>
          <w:i/>
          <w:iCs/>
          <w:szCs w:val="24"/>
          <w:lang w:eastAsia="fr-FR"/>
        </w:rPr>
        <w:t>▌</w:t>
      </w:r>
    </w:p>
    <w:p w:rsidR="002022AB" w:rsidRPr="002B2F0B" w:rsidRDefault="002022AB" w:rsidP="00075179">
      <w:pPr>
        <w:spacing w:before="120" w:after="120" w:line="360" w:lineRule="auto"/>
        <w:jc w:val="center"/>
        <w:rPr>
          <w:i/>
          <w:iCs/>
          <w:szCs w:val="24"/>
          <w:lang w:eastAsia="fr-FR"/>
        </w:rPr>
      </w:pPr>
      <w:r w:rsidRPr="002B2F0B">
        <w:rPr>
          <w:szCs w:val="24"/>
          <w:lang w:eastAsia="fr-FR"/>
        </w:rPr>
        <w:br w:type="page"/>
      </w:r>
      <w:r w:rsidRPr="002B2F0B">
        <w:rPr>
          <w:i/>
          <w:szCs w:val="24"/>
          <w:lang w:eastAsia="fr-FR"/>
        </w:rPr>
        <w:t>Article 10</w:t>
      </w:r>
      <w:r w:rsidRPr="002B2F0B">
        <w:rPr>
          <w:i/>
          <w:iCs/>
          <w:szCs w:val="24"/>
          <w:lang w:eastAsia="fr-FR"/>
        </w:rPr>
        <w:br/>
      </w:r>
      <w:r w:rsidRPr="002B2F0B">
        <w:rPr>
          <w:i/>
          <w:szCs w:val="24"/>
          <w:lang w:eastAsia="fr-FR"/>
        </w:rPr>
        <w:t>Engagement de la procédure au fond</w:t>
      </w:r>
    </w:p>
    <w:p w:rsidR="002022AB" w:rsidRPr="002B2F0B" w:rsidRDefault="002022AB" w:rsidP="00075179">
      <w:pPr>
        <w:spacing w:before="120" w:after="120" w:line="360" w:lineRule="auto"/>
        <w:ind w:left="851" w:hanging="851"/>
        <w:rPr>
          <w:szCs w:val="24"/>
          <w:lang w:eastAsia="fr-FR"/>
        </w:rPr>
      </w:pPr>
      <w:r w:rsidRPr="002B2F0B">
        <w:rPr>
          <w:b/>
          <w:bCs/>
          <w:i/>
          <w:iCs/>
          <w:szCs w:val="24"/>
          <w:lang w:eastAsia="fr-FR"/>
        </w:rPr>
        <w:t>1.</w:t>
      </w:r>
      <w:r w:rsidRPr="002B2F0B">
        <w:rPr>
          <w:szCs w:val="24"/>
          <w:lang w:eastAsia="fr-FR"/>
        </w:rPr>
        <w:tab/>
      </w:r>
      <w:r w:rsidRPr="002B2F0B">
        <w:rPr>
          <w:b/>
          <w:bCs/>
          <w:i/>
          <w:iCs/>
          <w:szCs w:val="24"/>
          <w:lang w:eastAsia="fr-FR"/>
        </w:rPr>
        <w:t>Lorsque le créancier a demandé une ordonnance de saisie conservatoire avant d'engager</w:t>
      </w:r>
      <w:r w:rsidRPr="002B2F0B">
        <w:rPr>
          <w:szCs w:val="24"/>
          <w:lang w:eastAsia="fr-FR"/>
        </w:rPr>
        <w:t xml:space="preserve"> une procédure au fond, </w:t>
      </w:r>
      <w:r w:rsidRPr="002B2F0B">
        <w:rPr>
          <w:b/>
          <w:bCs/>
          <w:i/>
          <w:iCs/>
          <w:szCs w:val="24"/>
          <w:lang w:eastAsia="fr-FR"/>
        </w:rPr>
        <w:t>il engage cette procédure et en fournit la preuve à la juridiction auprès de laquelle la demande d'ordonnance conservatoire a été introduite dans les trente jours à compter de la date d'introduction de la demande ou dans les quatorze jours de la date de délivrance de l'ordonnance, si cette date est postérieure. À la demande du débiteur, la juridiction peut également prolonger ce délai, par exemple, afin de permettre aux parties de trouver un accord et elle en informe les deux parties</w:t>
      </w:r>
      <w:r w:rsidRPr="002B2F0B">
        <w:rPr>
          <w:szCs w:val="24"/>
          <w:lang w:eastAsia="fr-FR"/>
        </w:rPr>
        <w:t>.</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2.</w:t>
      </w:r>
      <w:r w:rsidRPr="002B2F0B">
        <w:rPr>
          <w:b/>
          <w:bCs/>
          <w:i/>
          <w:iCs/>
          <w:szCs w:val="24"/>
          <w:lang w:eastAsia="fr-FR"/>
        </w:rPr>
        <w:tab/>
        <w:t>Si la juridiction n'a pas reçu, dans le délai visé au paragraphe 1, la preuve que la procédure a été engagée, l'ordonnance de saisie conservatoire est révoquée ou elle prend fin et les parties en sont informées.</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ab/>
        <w:t>Lorsque la juridiction qui a délivré l'ordonnance est située dans l'État membre d'exécution, l'ordonnance est révoquée ou prend fin dans ledit État membre conformément au droit dudit État membre.</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ab/>
      </w:r>
      <w:r w:rsidRPr="002B2F0B">
        <w:rPr>
          <w:b/>
          <w:bCs/>
          <w:i/>
          <w:iCs/>
          <w:szCs w:val="24"/>
          <w:lang w:eastAsia="fr-FR"/>
        </w:rPr>
        <w:br w:type="page"/>
        <w:t xml:space="preserve">Lorsque la révocation ou la cessation doit être mise en œuvre dans un État membre autre que l'État membre d'origine, la juridiction révoque l'ordonnance de saisie conservatoire en utilisant le formulaire de révocation dont le modèle est établi au moyen d'actes d'exécution adoptés en conformité avec la procédure consultative visée à l'article 52, paragraphe 2, et elle transmet le formulaire de révocation à l'autorité compétente de l'État membre d'exécution, conformément à l'article 29. Cette autorité prend les mesures nécessaires, en appliquant l'article 2, le cas échéant, pour que la révocation ou la cessation soit mise en œuvre. </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3.</w:t>
      </w:r>
      <w:r w:rsidRPr="002B2F0B">
        <w:rPr>
          <w:b/>
          <w:bCs/>
          <w:i/>
          <w:iCs/>
          <w:szCs w:val="24"/>
          <w:lang w:eastAsia="fr-FR"/>
        </w:rPr>
        <w:tab/>
        <w:t xml:space="preserve">Aux fins du paragraphe 1, la procédure au fond est réputée avoir été engagée: </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a)</w:t>
      </w:r>
      <w:r w:rsidRPr="002B2F0B">
        <w:rPr>
          <w:b/>
          <w:bCs/>
          <w:i/>
          <w:iCs/>
          <w:szCs w:val="24"/>
          <w:lang w:eastAsia="fr-FR"/>
        </w:rPr>
        <w:tab/>
        <w:t>à la date à laquelle l'acte introductif d'instance ou un acte équivalent est déposé auprès de la juridiction, à condition que le créancier n'ait pas omis par la suite de prendre les mesures qu'il était tenu de prendre pour que l'acte soit signifié ou notifié au débiteur; ou</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b)</w:t>
      </w:r>
      <w:r w:rsidRPr="002B2F0B">
        <w:rPr>
          <w:b/>
          <w:bCs/>
          <w:i/>
          <w:iCs/>
          <w:szCs w:val="24"/>
          <w:lang w:eastAsia="fr-FR"/>
        </w:rPr>
        <w:tab/>
        <w:t>si l'acte doit être signifié ou notifié avant d'être déposé auprès de la juridiction, à la date à laquelle il est reçu par l'autorité chargée de la signification ou de la notification, à condition que le créancier n'ait pas négligé par la suite de prendre les mesures qu'il était tenu de prendre pour que l'acte soit déposé auprès de la juridiction.</w:t>
      </w:r>
    </w:p>
    <w:p w:rsidR="002022AB" w:rsidRPr="002B2F0B" w:rsidRDefault="002022AB" w:rsidP="00075179">
      <w:pPr>
        <w:spacing w:before="120" w:after="120" w:line="360" w:lineRule="auto"/>
        <w:ind w:left="851"/>
        <w:rPr>
          <w:b/>
          <w:bCs/>
          <w:i/>
          <w:iCs/>
          <w:szCs w:val="24"/>
          <w:lang w:eastAsia="fr-FR"/>
        </w:rPr>
      </w:pPr>
      <w:r w:rsidRPr="002B2F0B">
        <w:rPr>
          <w:b/>
          <w:bCs/>
          <w:i/>
          <w:iCs/>
          <w:szCs w:val="24"/>
          <w:lang w:eastAsia="fr-FR"/>
        </w:rPr>
        <w:t>L'autorité chargée de la signification ou de la notification visée au premier alinéa, point b), est la première autorité qui reçoit les actes à signifier ou à notifier.</w:t>
      </w:r>
    </w:p>
    <w:p w:rsidR="002022AB" w:rsidRPr="002B2F0B" w:rsidRDefault="002022AB" w:rsidP="00075179">
      <w:pPr>
        <w:spacing w:before="120" w:after="120" w:line="360" w:lineRule="auto"/>
        <w:rPr>
          <w:b/>
          <w:bCs/>
          <w:i/>
          <w:iCs/>
          <w:szCs w:val="24"/>
          <w:lang w:eastAsia="fr-FR"/>
        </w:rPr>
      </w:pPr>
      <w:r w:rsidRPr="002B2F0B">
        <w:rPr>
          <w:b/>
          <w:bCs/>
          <w:i/>
          <w:iCs/>
          <w:szCs w:val="24"/>
          <w:lang w:eastAsia="fr-FR"/>
        </w:rPr>
        <w:t>▌</w:t>
      </w:r>
    </w:p>
    <w:p w:rsidR="002022AB" w:rsidRPr="002B2F0B" w:rsidRDefault="002022AB" w:rsidP="00075179">
      <w:pPr>
        <w:keepNext/>
        <w:spacing w:before="360" w:after="120" w:line="360" w:lineRule="auto"/>
        <w:jc w:val="center"/>
        <w:rPr>
          <w:b/>
          <w:bCs/>
          <w:i/>
          <w:szCs w:val="24"/>
          <w:lang w:eastAsia="fr-FR"/>
        </w:rPr>
      </w:pPr>
      <w:r w:rsidRPr="002B2F0B">
        <w:rPr>
          <w:szCs w:val="24"/>
          <w:lang w:eastAsia="fr-FR"/>
        </w:rPr>
        <w:br w:type="page"/>
      </w:r>
      <w:r w:rsidRPr="002B2F0B">
        <w:rPr>
          <w:b/>
          <w:bCs/>
          <w:i/>
          <w:szCs w:val="24"/>
          <w:lang w:eastAsia="fr-FR"/>
        </w:rPr>
        <w:t>Article 11</w:t>
      </w:r>
      <w:r w:rsidRPr="002B2F0B">
        <w:rPr>
          <w:b/>
          <w:bCs/>
          <w:i/>
          <w:szCs w:val="24"/>
          <w:lang w:eastAsia="fr-FR"/>
        </w:rPr>
        <w:br/>
        <w:t>Procédure non contradictoire</w:t>
      </w:r>
    </w:p>
    <w:p w:rsidR="002022AB" w:rsidRPr="002B2F0B" w:rsidRDefault="002022AB" w:rsidP="00075179">
      <w:pPr>
        <w:spacing w:before="120" w:after="120" w:line="360" w:lineRule="auto"/>
        <w:rPr>
          <w:b/>
          <w:bCs/>
          <w:i/>
          <w:szCs w:val="24"/>
          <w:lang w:eastAsia="fr-FR"/>
        </w:rPr>
      </w:pPr>
      <w:r w:rsidRPr="002B2F0B">
        <w:rPr>
          <w:b/>
          <w:bCs/>
          <w:i/>
          <w:szCs w:val="24"/>
          <w:lang w:eastAsia="fr-FR"/>
        </w:rPr>
        <w:t>Le débiteur n'est pas informé de la demande d'ordonnance de saisie conservatoire ni entendu avant la délivrance de l'ordonnance.</w:t>
      </w:r>
    </w:p>
    <w:p w:rsidR="002022AB" w:rsidRPr="002B2F0B" w:rsidRDefault="002022AB" w:rsidP="00075179">
      <w:pPr>
        <w:spacing w:before="120" w:after="120" w:line="360" w:lineRule="auto"/>
        <w:rPr>
          <w:szCs w:val="24"/>
          <w:lang w:eastAsia="fr-FR"/>
        </w:rPr>
      </w:pPr>
      <w:r w:rsidRPr="002B2F0B">
        <w:rPr>
          <w:b/>
          <w:bCs/>
          <w:i/>
          <w:szCs w:val="24"/>
          <w:lang w:eastAsia="fr-FR"/>
        </w:rPr>
        <w:t>▌</w:t>
      </w:r>
    </w:p>
    <w:p w:rsidR="002022AB" w:rsidRPr="002B2F0B" w:rsidRDefault="002022AB" w:rsidP="00075179">
      <w:pPr>
        <w:keepNext/>
        <w:spacing w:before="120" w:after="120" w:line="360" w:lineRule="exact"/>
        <w:jc w:val="center"/>
        <w:rPr>
          <w:b/>
          <w:bCs/>
          <w:i/>
          <w:szCs w:val="24"/>
          <w:lang w:eastAsia="fr-FR"/>
        </w:rPr>
      </w:pPr>
      <w:r w:rsidRPr="002B2F0B">
        <w:rPr>
          <w:b/>
          <w:bCs/>
          <w:i/>
          <w:szCs w:val="24"/>
          <w:lang w:eastAsia="fr-FR"/>
        </w:rPr>
        <w:t>Article 12</w:t>
      </w:r>
      <w:r w:rsidRPr="002B2F0B">
        <w:rPr>
          <w:b/>
          <w:bCs/>
          <w:i/>
          <w:szCs w:val="24"/>
          <w:lang w:eastAsia="fr-FR"/>
        </w:rPr>
        <w:br/>
        <w:t>Garantie que doit constituer le créancier</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1.</w:t>
      </w:r>
      <w:r w:rsidRPr="002B2F0B">
        <w:rPr>
          <w:b/>
          <w:bCs/>
          <w:i/>
          <w:szCs w:val="24"/>
          <w:lang w:eastAsia="fr-FR"/>
        </w:rPr>
        <w:tab/>
        <w:t xml:space="preserve">Avant de délivrer une ordonnance de saisie conservatoire dans les cas où le créancier n'a pas encore obtenu une décision, une transaction judiciaire ou un acte authentique, la juridiction exige du créancier qu'il constitue une garantie pour un montant suffisant afin de prévenir un recours abusif à la procédure prévue par le présent règlement et afin d'assurer la réparation de tout préjudice subi par le débiteur en raison de l'ordonnance, dans la mesure où le créancier est responsable dudit préjudice en vertu de l'article 13.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ab/>
        <w:t>La juridiction peut, à titre exceptionnel, dispenser de l'exigence prévue au premier alinéa si elle considère que, compte tenu des circonstances de l'espèce, la constitution de garantie visée au premier alinéa est inappropriée.</w:t>
      </w:r>
    </w:p>
    <w:p w:rsidR="002022AB" w:rsidRPr="002B2F0B" w:rsidRDefault="002022AB" w:rsidP="00075179">
      <w:pPr>
        <w:spacing w:before="120" w:after="120" w:line="360" w:lineRule="auto"/>
        <w:ind w:left="851" w:hanging="851"/>
        <w:rPr>
          <w:b/>
          <w:i/>
          <w:iCs/>
          <w:szCs w:val="24"/>
          <w:lang w:eastAsia="fr-FR"/>
        </w:rPr>
      </w:pPr>
      <w:r w:rsidRPr="002B2F0B">
        <w:rPr>
          <w:szCs w:val="24"/>
          <w:lang w:eastAsia="fr-FR"/>
        </w:rPr>
        <w:br w:type="page"/>
      </w:r>
      <w:r w:rsidRPr="002B2F0B">
        <w:rPr>
          <w:b/>
          <w:i/>
          <w:iCs/>
          <w:szCs w:val="24"/>
          <w:lang w:eastAsia="fr-FR"/>
        </w:rPr>
        <w:t>2.</w:t>
      </w:r>
      <w:r w:rsidRPr="002B2F0B">
        <w:rPr>
          <w:b/>
          <w:i/>
          <w:iCs/>
          <w:szCs w:val="24"/>
          <w:lang w:eastAsia="fr-FR"/>
        </w:rPr>
        <w:tab/>
        <w:t xml:space="preserve">Dans les cas où le créancier a déjà obtenu une décision, une transaction judiciaire ou un acte authentique, la juridiction peut, avant de délivrer l'ordonnance, exiger du créancier qu'il constitue une garantie telle qu’elle est visée au paragraphe 1, premier alinéa, lorsqu'elle le juge nécessaire et approprié compte tenu des circonstances de l'espèce. </w:t>
      </w:r>
    </w:p>
    <w:p w:rsidR="002022AB" w:rsidRPr="002B2F0B" w:rsidRDefault="002022AB" w:rsidP="00075179">
      <w:pPr>
        <w:spacing w:before="120" w:after="120" w:line="380" w:lineRule="exact"/>
        <w:ind w:left="850" w:hanging="850"/>
        <w:rPr>
          <w:b/>
          <w:i/>
          <w:iCs/>
          <w:szCs w:val="24"/>
          <w:lang w:eastAsia="fr-FR"/>
        </w:rPr>
      </w:pPr>
      <w:r w:rsidRPr="002B2F0B">
        <w:rPr>
          <w:b/>
          <w:i/>
          <w:iCs/>
          <w:szCs w:val="24"/>
          <w:lang w:eastAsia="fr-FR"/>
        </w:rPr>
        <w:t>3.</w:t>
      </w:r>
      <w:r w:rsidRPr="002B2F0B">
        <w:rPr>
          <w:b/>
          <w:i/>
          <w:iCs/>
          <w:szCs w:val="24"/>
          <w:lang w:eastAsia="fr-FR"/>
        </w:rPr>
        <w:tab/>
        <w:t>Lorsque la juridiction exige la constitution d'une garantie en vertu du présent article, elle informe le créancier du montant requis et des formes de garantie acceptables au titre du droit de l'État membre dans lequel est située la juridiction. Elle indique au créancier qu'elle délivrera l'ordonnance de saisie conservatoire après qu'une garantie aura été constituée conformément à ces exigences.</w:t>
      </w:r>
    </w:p>
    <w:p w:rsidR="002022AB" w:rsidRPr="002B2F0B" w:rsidRDefault="002022AB" w:rsidP="00075179">
      <w:pPr>
        <w:keepNext/>
        <w:spacing w:before="120" w:after="120" w:line="380" w:lineRule="exact"/>
        <w:jc w:val="center"/>
        <w:rPr>
          <w:b/>
          <w:i/>
          <w:szCs w:val="24"/>
          <w:lang w:eastAsia="fr-FR"/>
        </w:rPr>
      </w:pPr>
      <w:r w:rsidRPr="002B2F0B">
        <w:rPr>
          <w:b/>
          <w:i/>
          <w:szCs w:val="24"/>
          <w:lang w:eastAsia="fr-FR"/>
        </w:rPr>
        <w:t>Article 13</w:t>
      </w:r>
      <w:r w:rsidRPr="002B2F0B">
        <w:rPr>
          <w:b/>
          <w:i/>
          <w:szCs w:val="24"/>
          <w:lang w:eastAsia="fr-FR"/>
        </w:rPr>
        <w:br/>
        <w:t>Responsabilité du créancier</w:t>
      </w:r>
    </w:p>
    <w:p w:rsidR="002022AB" w:rsidRPr="002B2F0B" w:rsidRDefault="002022AB" w:rsidP="00075179">
      <w:pPr>
        <w:spacing w:before="120" w:after="120" w:line="380" w:lineRule="exact"/>
        <w:ind w:left="850" w:hanging="850"/>
        <w:rPr>
          <w:b/>
          <w:i/>
          <w:szCs w:val="24"/>
          <w:lang w:eastAsia="fr-FR"/>
        </w:rPr>
      </w:pPr>
      <w:r w:rsidRPr="002B2F0B">
        <w:rPr>
          <w:b/>
          <w:i/>
          <w:szCs w:val="24"/>
          <w:lang w:eastAsia="fr-FR"/>
        </w:rPr>
        <w:t>1.</w:t>
      </w:r>
      <w:r w:rsidRPr="002B2F0B">
        <w:rPr>
          <w:b/>
          <w:i/>
          <w:szCs w:val="24"/>
          <w:lang w:eastAsia="fr-FR"/>
        </w:rPr>
        <w:tab/>
        <w:t>Le créancier est responsable de tout préjudice causé au débiteur par l'ordonnance de saisie conservatoire en raison d'une faute du créancier. La charge de la preuve incombe au débiteur.</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80" w:lineRule="exact"/>
        <w:ind w:left="850" w:hanging="850"/>
        <w:rPr>
          <w:b/>
          <w:i/>
          <w:szCs w:val="24"/>
          <w:lang w:eastAsia="fr-FR"/>
        </w:rPr>
      </w:pPr>
      <w:r w:rsidRPr="002B2F0B">
        <w:rPr>
          <w:b/>
          <w:i/>
          <w:szCs w:val="24"/>
          <w:lang w:eastAsia="fr-FR"/>
        </w:rPr>
        <w:t>2.</w:t>
      </w:r>
      <w:r w:rsidRPr="002B2F0B">
        <w:rPr>
          <w:b/>
          <w:i/>
          <w:szCs w:val="24"/>
          <w:lang w:eastAsia="fr-FR"/>
        </w:rPr>
        <w:tab/>
        <w:t>La faute du créancier est présumée, sauf preuve du contraire, dans les cas suivants:</w:t>
      </w:r>
    </w:p>
    <w:p w:rsidR="002022AB" w:rsidRPr="002B2F0B" w:rsidRDefault="002022AB" w:rsidP="00075179">
      <w:pPr>
        <w:spacing w:before="120" w:after="120" w:line="380" w:lineRule="exact"/>
        <w:ind w:left="1417" w:hanging="567"/>
        <w:rPr>
          <w:b/>
          <w:i/>
          <w:szCs w:val="24"/>
          <w:lang w:eastAsia="fr-FR"/>
        </w:rPr>
      </w:pPr>
      <w:r w:rsidRPr="002B2F0B">
        <w:rPr>
          <w:b/>
          <w:i/>
          <w:szCs w:val="24"/>
          <w:lang w:eastAsia="fr-FR"/>
        </w:rPr>
        <w:t>a)</w:t>
      </w:r>
      <w:r w:rsidRPr="002B2F0B">
        <w:rPr>
          <w:b/>
          <w:i/>
          <w:szCs w:val="24"/>
          <w:lang w:eastAsia="fr-FR"/>
        </w:rPr>
        <w:tab/>
        <w:t>si l'ordonnance est révoquée parce que le créancier a omis d'engager une procédure au fond, à moins que cette omission ne résulte du paiement de la créance par le débiteur ou de tout autre forme de règlement intervenu entre les parties;</w:t>
      </w:r>
    </w:p>
    <w:p w:rsidR="002022AB" w:rsidRPr="002B2F0B" w:rsidRDefault="002022AB" w:rsidP="00075179">
      <w:pPr>
        <w:spacing w:before="120" w:after="120" w:line="380" w:lineRule="exact"/>
        <w:ind w:left="1417" w:hanging="567"/>
        <w:rPr>
          <w:b/>
          <w:i/>
          <w:szCs w:val="24"/>
          <w:lang w:eastAsia="fr-FR"/>
        </w:rPr>
      </w:pPr>
      <w:r w:rsidRPr="002B2F0B">
        <w:rPr>
          <w:b/>
          <w:i/>
          <w:szCs w:val="24"/>
          <w:lang w:eastAsia="fr-FR"/>
        </w:rPr>
        <w:t>b)</w:t>
      </w:r>
      <w:r w:rsidRPr="002B2F0B">
        <w:rPr>
          <w:b/>
          <w:i/>
          <w:szCs w:val="24"/>
          <w:lang w:eastAsia="fr-FR"/>
        </w:rPr>
        <w:tab/>
        <w:t>si le créancier a omis de demander la libération des montants qui excèdent ceux faisant l'objet de la saisie conservatoire comme prévu à l'article 27 ;</w:t>
      </w:r>
    </w:p>
    <w:p w:rsidR="002022AB" w:rsidRPr="002B2F0B" w:rsidRDefault="002022AB" w:rsidP="00075179">
      <w:pPr>
        <w:widowControl w:val="0"/>
        <w:jc w:val="right"/>
        <w:rPr>
          <w:b/>
          <w:i/>
          <w:szCs w:val="24"/>
          <w:lang w:eastAsia="fr-FR"/>
        </w:rPr>
      </w:pPr>
    </w:p>
    <w:p w:rsidR="002022AB" w:rsidRPr="002B2F0B" w:rsidRDefault="002022AB" w:rsidP="00075179">
      <w:pPr>
        <w:spacing w:before="120" w:after="120" w:line="360" w:lineRule="auto"/>
        <w:ind w:left="1417" w:hanging="567"/>
        <w:rPr>
          <w:b/>
          <w:i/>
          <w:szCs w:val="24"/>
          <w:lang w:eastAsia="fr-FR"/>
        </w:rPr>
      </w:pPr>
      <w:r w:rsidRPr="002B2F0B">
        <w:rPr>
          <w:b/>
          <w:i/>
          <w:szCs w:val="24"/>
          <w:lang w:eastAsia="fr-FR"/>
        </w:rPr>
        <w:t>c)</w:t>
      </w:r>
      <w:r w:rsidRPr="002B2F0B">
        <w:rPr>
          <w:b/>
          <w:i/>
          <w:szCs w:val="24"/>
          <w:lang w:eastAsia="fr-FR"/>
        </w:rPr>
        <w:tab/>
        <w:t>s'il apparaît ultérieurement que la délivrance de l'ordonnance n'était pas appropriée ou n'était appropriée que pour un montant inférieur en raison du fait que le créancier a omis de remplir les obligations qui lui incombent au titre de l'article 16; ou</w:t>
      </w:r>
    </w:p>
    <w:p w:rsidR="002022AB" w:rsidRPr="002B2F0B" w:rsidRDefault="002022AB" w:rsidP="00075179">
      <w:pPr>
        <w:spacing w:before="120" w:after="120" w:line="360" w:lineRule="auto"/>
        <w:ind w:left="1417" w:hanging="567"/>
        <w:rPr>
          <w:b/>
          <w:i/>
          <w:szCs w:val="24"/>
          <w:lang w:eastAsia="fr-FR"/>
        </w:rPr>
      </w:pPr>
      <w:r w:rsidRPr="002B2F0B">
        <w:rPr>
          <w:b/>
          <w:i/>
          <w:szCs w:val="24"/>
          <w:lang w:eastAsia="fr-FR"/>
        </w:rPr>
        <w:t>d)</w:t>
      </w:r>
      <w:r w:rsidRPr="002B2F0B">
        <w:rPr>
          <w:b/>
          <w:i/>
          <w:szCs w:val="24"/>
          <w:lang w:eastAsia="fr-FR"/>
        </w:rPr>
        <w:tab/>
        <w:t xml:space="preserve">si l'ordonnance est révoquée ou s'il est mis fin à son exécution parce que le créancier n'a pas respecté ses obligations qui lui incombent en vertu du présent règlement en matière de signification ou de notification ou de traduction de documents, ou concernant le fait de remédier à l'absence de signification ou de notification ou à l'absence de traduction. </w:t>
      </w:r>
    </w:p>
    <w:p w:rsidR="002022AB" w:rsidRPr="002B2F0B" w:rsidRDefault="002022AB" w:rsidP="00075179">
      <w:pPr>
        <w:spacing w:before="120" w:after="120" w:line="360" w:lineRule="auto"/>
        <w:ind w:left="850" w:hanging="850"/>
        <w:rPr>
          <w:b/>
          <w:i/>
          <w:szCs w:val="24"/>
          <w:lang w:eastAsia="fr-FR"/>
        </w:rPr>
      </w:pPr>
      <w:r w:rsidRPr="002B2F0B">
        <w:rPr>
          <w:b/>
          <w:i/>
          <w:szCs w:val="24"/>
          <w:lang w:eastAsia="fr-FR"/>
        </w:rPr>
        <w:t>3.</w:t>
      </w:r>
      <w:r w:rsidRPr="002B2F0B">
        <w:rPr>
          <w:b/>
          <w:i/>
          <w:szCs w:val="24"/>
          <w:lang w:eastAsia="fr-FR"/>
        </w:rPr>
        <w:tab/>
        <w:t>Nonobstant le paragraphe 1, les États membres peuvent maintenir ou introduire dans leur droit national d'autres motifs ou types de responsabilité ou règles relatives à la charge de la preuve. Tous les autres aspects relatifs à la responsabilité du créancier envers le débiteur qui ne sont pas expressément traités au paragraphe 1 ou 2 sont régis par le droit national.</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b/>
          <w:i/>
          <w:szCs w:val="24"/>
          <w:lang w:eastAsia="fr-FR"/>
        </w:rPr>
      </w:pPr>
      <w:r w:rsidRPr="002B2F0B">
        <w:rPr>
          <w:b/>
          <w:i/>
          <w:szCs w:val="24"/>
          <w:lang w:eastAsia="fr-FR"/>
        </w:rPr>
        <w:t>4.</w:t>
      </w:r>
      <w:r w:rsidRPr="002B2F0B">
        <w:rPr>
          <w:b/>
          <w:i/>
          <w:szCs w:val="24"/>
          <w:lang w:eastAsia="fr-FR"/>
        </w:rPr>
        <w:tab/>
        <w:t>Le droit applicable à la responsabilité du créancier est le droit de l'État membre d'exécution.</w:t>
      </w:r>
    </w:p>
    <w:p w:rsidR="002022AB" w:rsidRPr="002B2F0B" w:rsidRDefault="002022AB" w:rsidP="00075179">
      <w:pPr>
        <w:spacing w:before="120" w:after="120" w:line="360" w:lineRule="auto"/>
        <w:ind w:left="850" w:hanging="850"/>
        <w:rPr>
          <w:b/>
          <w:i/>
          <w:szCs w:val="24"/>
          <w:lang w:eastAsia="fr-FR"/>
        </w:rPr>
      </w:pPr>
      <w:r w:rsidRPr="002B2F0B">
        <w:rPr>
          <w:b/>
          <w:i/>
          <w:szCs w:val="24"/>
          <w:lang w:eastAsia="fr-FR"/>
        </w:rPr>
        <w:tab/>
        <w:t>Si des comptes font l'objet d'une saisie conservatoire dans plusieurs États membres, le droit applicable à la responsabilité du créancier est le droit de l'État membre d'exécution:</w:t>
      </w:r>
    </w:p>
    <w:p w:rsidR="002022AB" w:rsidRPr="002B2F0B" w:rsidRDefault="002022AB" w:rsidP="00075179">
      <w:pPr>
        <w:spacing w:before="120" w:after="120" w:line="360" w:lineRule="auto"/>
        <w:ind w:left="1418" w:hanging="567"/>
        <w:rPr>
          <w:b/>
          <w:i/>
          <w:szCs w:val="24"/>
          <w:lang w:eastAsia="fr-FR"/>
        </w:rPr>
      </w:pPr>
      <w:r w:rsidRPr="002B2F0B">
        <w:rPr>
          <w:b/>
          <w:i/>
          <w:szCs w:val="24"/>
          <w:lang w:eastAsia="fr-FR"/>
        </w:rPr>
        <w:t>a)</w:t>
      </w:r>
      <w:r w:rsidRPr="002B2F0B">
        <w:rPr>
          <w:b/>
          <w:i/>
          <w:szCs w:val="24"/>
          <w:lang w:eastAsia="fr-FR"/>
        </w:rPr>
        <w:tab/>
        <w:t>dans lequel le débiteur a sa résidence habituelle au sens de l'article 23 du règlement (CE) n° 864/2007 du Parlement européen et du Conseil</w:t>
      </w:r>
      <w:r w:rsidRPr="002B2F0B">
        <w:rPr>
          <w:b/>
          <w:i/>
          <w:szCs w:val="24"/>
          <w:vertAlign w:val="superscript"/>
          <w:lang w:eastAsia="fr-FR"/>
        </w:rPr>
        <w:footnoteReference w:id="76"/>
      </w:r>
      <w:r w:rsidRPr="002B2F0B">
        <w:rPr>
          <w:b/>
          <w:i/>
          <w:szCs w:val="24"/>
          <w:lang w:eastAsia="fr-FR"/>
        </w:rPr>
        <w:t>, ou à défaut,</w:t>
      </w:r>
    </w:p>
    <w:p w:rsidR="002022AB" w:rsidRPr="002B2F0B" w:rsidRDefault="002022AB" w:rsidP="00075179">
      <w:pPr>
        <w:spacing w:before="120" w:after="120" w:line="360" w:lineRule="auto"/>
        <w:ind w:left="1418" w:hanging="567"/>
        <w:rPr>
          <w:b/>
          <w:i/>
          <w:szCs w:val="24"/>
          <w:lang w:eastAsia="fr-FR"/>
        </w:rPr>
      </w:pPr>
      <w:r w:rsidRPr="002B2F0B">
        <w:rPr>
          <w:b/>
          <w:i/>
          <w:szCs w:val="24"/>
          <w:lang w:eastAsia="fr-FR"/>
        </w:rPr>
        <w:t>b)</w:t>
      </w:r>
      <w:r w:rsidRPr="002B2F0B">
        <w:rPr>
          <w:b/>
          <w:i/>
          <w:szCs w:val="24"/>
          <w:lang w:eastAsia="fr-FR"/>
        </w:rPr>
        <w:tab/>
        <w:t>qui présente les liens les plus étroits avec l'affaire.</w:t>
      </w:r>
    </w:p>
    <w:p w:rsidR="002022AB" w:rsidRPr="002B2F0B" w:rsidRDefault="002022AB" w:rsidP="00075179">
      <w:pPr>
        <w:spacing w:before="120" w:after="120" w:line="360" w:lineRule="auto"/>
        <w:ind w:left="850" w:hanging="850"/>
        <w:rPr>
          <w:b/>
          <w:i/>
          <w:szCs w:val="24"/>
          <w:lang w:eastAsia="fr-FR"/>
        </w:rPr>
      </w:pPr>
      <w:r w:rsidRPr="002B2F0B">
        <w:rPr>
          <w:b/>
          <w:i/>
          <w:szCs w:val="24"/>
          <w:lang w:eastAsia="fr-FR"/>
        </w:rPr>
        <w:t>5.</w:t>
      </w:r>
      <w:r w:rsidRPr="002B2F0B">
        <w:rPr>
          <w:b/>
          <w:i/>
          <w:szCs w:val="24"/>
          <w:lang w:eastAsia="fr-FR"/>
        </w:rPr>
        <w:tab/>
        <w:t xml:space="preserve">Le présent article ne concerne pas la question de l'éventuelle responsabilité du créancier à l'égard d'une banque ou d'un tiers. </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jc w:val="center"/>
        <w:rPr>
          <w:b/>
          <w:bCs/>
          <w:szCs w:val="24"/>
          <w:lang w:eastAsia="fr-FR"/>
        </w:rPr>
      </w:pPr>
      <w:r w:rsidRPr="002B2F0B">
        <w:rPr>
          <w:i/>
          <w:szCs w:val="24"/>
          <w:lang w:eastAsia="fr-FR"/>
        </w:rPr>
        <w:t>Article 14</w:t>
      </w:r>
      <w:r w:rsidRPr="002B2F0B">
        <w:rPr>
          <w:i/>
          <w:iCs/>
          <w:szCs w:val="24"/>
          <w:lang w:eastAsia="fr-FR"/>
        </w:rPr>
        <w:br/>
      </w:r>
      <w:r w:rsidRPr="002B2F0B">
        <w:rPr>
          <w:i/>
          <w:szCs w:val="24"/>
          <w:lang w:eastAsia="fr-FR"/>
        </w:rPr>
        <w:t>Demande visant à obtenir des informations relatives aux comptes</w:t>
      </w:r>
    </w:p>
    <w:p w:rsidR="002022AB" w:rsidRPr="002B2F0B" w:rsidRDefault="002022AB" w:rsidP="00075179">
      <w:pPr>
        <w:spacing w:before="120" w:after="120" w:line="360" w:lineRule="auto"/>
        <w:ind w:left="850" w:hanging="850"/>
        <w:rPr>
          <w:b/>
          <w:bCs/>
          <w:i/>
          <w:iCs/>
          <w:szCs w:val="24"/>
          <w:lang w:eastAsia="fr-FR"/>
        </w:rPr>
      </w:pPr>
      <w:r w:rsidRPr="002B2F0B">
        <w:rPr>
          <w:szCs w:val="24"/>
          <w:lang w:eastAsia="fr-FR"/>
        </w:rPr>
        <w:t>1.</w:t>
      </w:r>
      <w:r w:rsidRPr="002B2F0B">
        <w:rPr>
          <w:szCs w:val="24"/>
          <w:lang w:eastAsia="fr-FR"/>
        </w:rPr>
        <w:tab/>
        <w:t xml:space="preserve">Lorsque le </w:t>
      </w:r>
      <w:r w:rsidRPr="002B2F0B">
        <w:rPr>
          <w:b/>
          <w:bCs/>
          <w:i/>
          <w:iCs/>
          <w:szCs w:val="24"/>
          <w:lang w:eastAsia="fr-FR"/>
        </w:rPr>
        <w:t>créancier a obtenu, dans un État membre, une décision, une transaction judiciaire ou un acte authentique exécutoire exigeant du débiteur le paiement de sa créance et que le créancier a des raisons de croire que le débiteur détient un ou plusieurs comptes auprès d'une banque dans un État membre déterminé, mais qu'il ne connaît pas le nom ou/ni l'adresse de la banque, ni le code IBAN, BIC ou un autre numéro bancaire permettant d'identifier la banque, il peut demander à la juridiction auprès de laquelle la demande d'ordonnance de saisie conservatoire est introduite de demander à l'autorité chargée de l'obtention d'informations de l'État membre d'exécution d’obtenir les informations nécessaires pour permettre d'identifier la ou les banques et le ou les comptes du débiteur.</w:t>
      </w:r>
    </w:p>
    <w:p w:rsidR="002022AB" w:rsidRPr="002B2F0B" w:rsidRDefault="002022AB" w:rsidP="00075179">
      <w:pPr>
        <w:spacing w:before="120" w:after="120" w:line="360" w:lineRule="auto"/>
        <w:ind w:left="851"/>
        <w:rPr>
          <w:b/>
          <w:bCs/>
          <w:i/>
          <w:iCs/>
          <w:szCs w:val="24"/>
          <w:lang w:eastAsia="fr-FR"/>
        </w:rPr>
      </w:pPr>
      <w:r w:rsidRPr="002B2F0B">
        <w:rPr>
          <w:b/>
          <w:bCs/>
          <w:i/>
          <w:iCs/>
          <w:szCs w:val="24"/>
          <w:lang w:eastAsia="fr-FR"/>
        </w:rPr>
        <w:t>Nonobstant le premier alinéa, le créancier peut formuler la demande visée audit alinéa lorsque la décision, la transaction judiciaire ou l'acte authentique qu'il a obtenu n'est pas encore exécutoire et que le montant devant faire l'objet de la saisie conservatoire est important compte tenu des circonstances pertinentes et lorsque le créancier a fourni suffisamment d'éléments de preuve pour convaincre la juridiction qu'il est urgent d'obtenir des informations relatives aux comptes parce qu'il existe un risque qu'à défaut de ces informations, le recouvrement ultérieur de sa créance soit mis en péril et que cela puisse conduire en conséquence à une détérioration importante de la situation financière du créancier.</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szCs w:val="24"/>
          <w:lang w:eastAsia="fr-FR"/>
        </w:rPr>
      </w:pPr>
      <w:r w:rsidRPr="002B2F0B">
        <w:rPr>
          <w:szCs w:val="24"/>
          <w:lang w:eastAsia="fr-FR"/>
        </w:rPr>
        <w:t>2.</w:t>
      </w:r>
      <w:r w:rsidRPr="002B2F0B">
        <w:rPr>
          <w:szCs w:val="24"/>
          <w:lang w:eastAsia="fr-FR"/>
        </w:rPr>
        <w:tab/>
      </w:r>
      <w:r w:rsidRPr="002B2F0B">
        <w:rPr>
          <w:b/>
          <w:bCs/>
          <w:i/>
          <w:iCs/>
          <w:szCs w:val="24"/>
          <w:lang w:eastAsia="fr-FR"/>
        </w:rPr>
        <w:t>Le créancier formule la demande visée au paragraphe 1 dans la demande d'ordonnance de saisie conservatoire. Le créancier justifie les raisons pour lesquelles il pense que le débiteur détient un ou plusieurs comptes auprès d'une banque dans un État membre déterminé et fournit</w:t>
      </w:r>
      <w:r w:rsidRPr="002B2F0B">
        <w:rPr>
          <w:szCs w:val="24"/>
          <w:lang w:eastAsia="fr-FR"/>
        </w:rPr>
        <w:t xml:space="preserve"> toutes les informations </w:t>
      </w:r>
      <w:r w:rsidRPr="002B2F0B">
        <w:rPr>
          <w:b/>
          <w:bCs/>
          <w:i/>
          <w:iCs/>
          <w:szCs w:val="24"/>
          <w:lang w:eastAsia="fr-FR"/>
        </w:rPr>
        <w:t>utiles</w:t>
      </w:r>
      <w:r w:rsidRPr="002B2F0B">
        <w:rPr>
          <w:szCs w:val="24"/>
          <w:lang w:eastAsia="fr-FR"/>
        </w:rPr>
        <w:t xml:space="preserve"> dont </w:t>
      </w:r>
      <w:r w:rsidRPr="002B2F0B">
        <w:rPr>
          <w:b/>
          <w:bCs/>
          <w:i/>
          <w:iCs/>
          <w:szCs w:val="24"/>
          <w:lang w:eastAsia="fr-FR"/>
        </w:rPr>
        <w:t>il</w:t>
      </w:r>
      <w:r w:rsidRPr="002B2F0B">
        <w:rPr>
          <w:szCs w:val="24"/>
          <w:lang w:eastAsia="fr-FR"/>
        </w:rPr>
        <w:t xml:space="preserve"> dispose </w:t>
      </w:r>
      <w:r w:rsidRPr="002B2F0B">
        <w:rPr>
          <w:b/>
          <w:bCs/>
          <w:i/>
          <w:iCs/>
          <w:szCs w:val="24"/>
          <w:lang w:eastAsia="fr-FR"/>
        </w:rPr>
        <w:t>concernant le débiteur et le ou les comptes devant faire l'objet de la saisie conservatoire. Si la juridiction auprès de laquelle la demande d'ordonnance de saisie conservatoire est introduite considère que la demande du créancier n'est pas suffisamment étayée, elle la rejette</w:t>
      </w:r>
      <w:r w:rsidRPr="002B2F0B">
        <w:rPr>
          <w:szCs w:val="24"/>
          <w:lang w:eastAsia="fr-FR"/>
        </w:rPr>
        <w:t>.</w:t>
      </w:r>
    </w:p>
    <w:p w:rsidR="002022AB" w:rsidRPr="002B2F0B" w:rsidRDefault="002022AB" w:rsidP="00075179">
      <w:pPr>
        <w:spacing w:before="120" w:after="120" w:line="360" w:lineRule="auto"/>
        <w:ind w:left="850" w:hanging="850"/>
        <w:rPr>
          <w:b/>
          <w:bCs/>
          <w:i/>
          <w:iCs/>
          <w:szCs w:val="24"/>
          <w:lang w:eastAsia="fr-FR"/>
        </w:rPr>
      </w:pPr>
      <w:r w:rsidRPr="002B2F0B">
        <w:rPr>
          <w:b/>
          <w:bCs/>
          <w:i/>
          <w:iCs/>
          <w:szCs w:val="24"/>
          <w:lang w:eastAsia="fr-FR"/>
        </w:rPr>
        <w:t>3.</w:t>
      </w:r>
      <w:r w:rsidRPr="002B2F0B">
        <w:rPr>
          <w:b/>
          <w:bCs/>
          <w:i/>
          <w:iCs/>
          <w:szCs w:val="24"/>
          <w:lang w:eastAsia="fr-FR"/>
        </w:rPr>
        <w:tab/>
        <w:t xml:space="preserve">Lorsque la juridiction est convaincue que la demande du créancier est bien étayée et que toutes les conditions et exigences prévues pour la délivrance de l'ordonnance de saisie conservatoire sont remplies, excepté l'exigence en matière d'informations énoncée à l'article 8, paragraphe 2, point d), et, le cas échéant, l'exigence de garantie en vertu de l'article 12, la juridiction </w:t>
      </w:r>
      <w:r w:rsidRPr="002B2F0B">
        <w:rPr>
          <w:szCs w:val="24"/>
          <w:lang w:eastAsia="fr-FR"/>
        </w:rPr>
        <w:t>transmet à l'autorité</w:t>
      </w:r>
      <w:r w:rsidRPr="002B2F0B">
        <w:rPr>
          <w:b/>
          <w:bCs/>
          <w:i/>
          <w:iCs/>
          <w:szCs w:val="24"/>
          <w:lang w:eastAsia="fr-FR"/>
        </w:rPr>
        <w:t xml:space="preserve"> chargée de l'obtention d'informations de l'État membre d'exécution la demande d'informations, conformément à l'article 29. </w:t>
      </w:r>
    </w:p>
    <w:p w:rsidR="002022AB" w:rsidRPr="002B2F0B" w:rsidRDefault="002022AB" w:rsidP="00075179">
      <w:pPr>
        <w:spacing w:before="120" w:after="120" w:line="360" w:lineRule="auto"/>
        <w:ind w:left="850" w:hanging="850"/>
        <w:rPr>
          <w:szCs w:val="24"/>
          <w:lang w:eastAsia="fr-FR"/>
        </w:rPr>
      </w:pPr>
      <w:r w:rsidRPr="002B2F0B">
        <w:rPr>
          <w:szCs w:val="24"/>
          <w:lang w:eastAsia="fr-FR"/>
        </w:rPr>
        <w:t>4.</w:t>
      </w:r>
      <w:r w:rsidRPr="002B2F0B">
        <w:rPr>
          <w:szCs w:val="24"/>
          <w:lang w:eastAsia="fr-FR"/>
        </w:rPr>
        <w:tab/>
      </w:r>
      <w:r w:rsidRPr="002B2F0B">
        <w:rPr>
          <w:bCs/>
          <w:iCs/>
          <w:szCs w:val="24"/>
          <w:lang w:eastAsia="fr-FR"/>
        </w:rPr>
        <w:t>P</w:t>
      </w:r>
      <w:r w:rsidRPr="002B2F0B">
        <w:rPr>
          <w:szCs w:val="24"/>
          <w:lang w:eastAsia="fr-FR"/>
        </w:rPr>
        <w:t>our obtenir les informations visées au paragraphe 1,</w:t>
      </w:r>
      <w:r w:rsidRPr="002B2F0B">
        <w:rPr>
          <w:b/>
          <w:bCs/>
          <w:i/>
          <w:iCs/>
          <w:szCs w:val="24"/>
          <w:lang w:eastAsia="fr-FR"/>
        </w:rPr>
        <w:t xml:space="preserve"> l'autorité chargée de l'obtention d'informations de l'État membre d'exécution utilise l'une des méthodes prévues dans cet État membre en vertu du paragraphe 5.</w:t>
      </w:r>
    </w:p>
    <w:p w:rsidR="002022AB" w:rsidRPr="002B2F0B" w:rsidRDefault="002022AB" w:rsidP="00075179">
      <w:pPr>
        <w:spacing w:before="120" w:after="120" w:line="360" w:lineRule="auto"/>
        <w:ind w:left="850" w:hanging="850"/>
        <w:rPr>
          <w:szCs w:val="24"/>
          <w:lang w:eastAsia="fr-FR"/>
        </w:rPr>
      </w:pPr>
      <w:r w:rsidRPr="002B2F0B">
        <w:rPr>
          <w:szCs w:val="24"/>
          <w:lang w:eastAsia="fr-FR"/>
        </w:rPr>
        <w:t>5.</w:t>
      </w:r>
      <w:r w:rsidRPr="002B2F0B">
        <w:rPr>
          <w:szCs w:val="24"/>
          <w:lang w:eastAsia="fr-FR"/>
        </w:rPr>
        <w:tab/>
      </w:r>
      <w:r w:rsidRPr="002B2F0B">
        <w:rPr>
          <w:b/>
          <w:bCs/>
          <w:i/>
          <w:iCs/>
          <w:szCs w:val="24"/>
          <w:lang w:eastAsia="fr-FR"/>
        </w:rPr>
        <w:t>Chaque État membre prévoit dans son droit national au moins l'une des</w:t>
      </w:r>
      <w:r w:rsidRPr="002B2F0B">
        <w:rPr>
          <w:szCs w:val="24"/>
          <w:lang w:eastAsia="fr-FR"/>
        </w:rPr>
        <w:t xml:space="preserve"> méthodes </w:t>
      </w:r>
      <w:r w:rsidRPr="002B2F0B">
        <w:rPr>
          <w:b/>
          <w:bCs/>
          <w:i/>
          <w:iCs/>
          <w:szCs w:val="24"/>
          <w:lang w:eastAsia="fr-FR"/>
        </w:rPr>
        <w:t xml:space="preserve">suivantes </w:t>
      </w:r>
      <w:r w:rsidRPr="002B2F0B">
        <w:rPr>
          <w:szCs w:val="24"/>
          <w:lang w:eastAsia="fr-FR"/>
        </w:rPr>
        <w:t xml:space="preserve">d'obtention des informations </w:t>
      </w:r>
      <w:r w:rsidRPr="002B2F0B">
        <w:rPr>
          <w:b/>
          <w:bCs/>
          <w:i/>
          <w:iCs/>
          <w:szCs w:val="24"/>
          <w:lang w:eastAsia="fr-FR"/>
        </w:rPr>
        <w:t>visées au paragraphe 1:</w:t>
      </w:r>
    </w:p>
    <w:p w:rsidR="002022AB" w:rsidRPr="002B2F0B" w:rsidRDefault="002022AB" w:rsidP="00075179">
      <w:pPr>
        <w:spacing w:before="120" w:after="120" w:line="360" w:lineRule="auto"/>
        <w:ind w:left="1417" w:hanging="567"/>
        <w:rPr>
          <w:szCs w:val="24"/>
          <w:lang w:eastAsia="fr-FR"/>
        </w:rPr>
      </w:pPr>
      <w:r w:rsidRPr="002B2F0B">
        <w:rPr>
          <w:szCs w:val="24"/>
          <w:lang w:eastAsia="fr-FR"/>
        </w:rPr>
        <w:t>a)</w:t>
      </w:r>
      <w:r w:rsidRPr="002B2F0B">
        <w:rPr>
          <w:szCs w:val="24"/>
          <w:lang w:eastAsia="fr-FR"/>
        </w:rPr>
        <w:tab/>
      </w:r>
      <w:r w:rsidRPr="002B2F0B">
        <w:rPr>
          <w:b/>
          <w:bCs/>
          <w:i/>
          <w:iCs/>
          <w:szCs w:val="24"/>
          <w:lang w:eastAsia="fr-FR"/>
        </w:rPr>
        <w:t>l'obligation pour</w:t>
      </w:r>
      <w:r w:rsidRPr="002B2F0B">
        <w:rPr>
          <w:szCs w:val="24"/>
          <w:lang w:eastAsia="fr-FR"/>
        </w:rPr>
        <w:t xml:space="preserve"> toutes les banques se trouvant sur son territoire de déclarer</w:t>
      </w:r>
      <w:r w:rsidRPr="002B2F0B">
        <w:rPr>
          <w:b/>
          <w:bCs/>
          <w:i/>
          <w:iCs/>
          <w:szCs w:val="24"/>
          <w:lang w:eastAsia="fr-FR"/>
        </w:rPr>
        <w:t xml:space="preserve">, à la demande de l'autorité chargée de l'obtention d'informations, </w:t>
      </w:r>
      <w:r w:rsidRPr="002B2F0B">
        <w:rPr>
          <w:szCs w:val="24"/>
          <w:lang w:eastAsia="fr-FR"/>
        </w:rPr>
        <w:t>si</w:t>
      </w:r>
      <w:r w:rsidRPr="002B2F0B">
        <w:rPr>
          <w:b/>
          <w:bCs/>
          <w:i/>
          <w:iCs/>
          <w:szCs w:val="24"/>
          <w:lang w:eastAsia="fr-FR"/>
        </w:rPr>
        <w:t xml:space="preserve"> le débiteur</w:t>
      </w:r>
      <w:r w:rsidRPr="002B2F0B">
        <w:rPr>
          <w:szCs w:val="24"/>
          <w:lang w:eastAsia="fr-FR"/>
        </w:rPr>
        <w:t xml:space="preserve"> détient un compte auprès d'elles;</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1417" w:hanging="567"/>
        <w:rPr>
          <w:szCs w:val="24"/>
          <w:lang w:eastAsia="fr-FR"/>
        </w:rPr>
      </w:pPr>
      <w:r w:rsidRPr="002B2F0B">
        <w:rPr>
          <w:szCs w:val="24"/>
          <w:lang w:eastAsia="fr-FR"/>
        </w:rPr>
        <w:t>b)</w:t>
      </w:r>
      <w:r w:rsidRPr="002B2F0B">
        <w:rPr>
          <w:szCs w:val="24"/>
          <w:lang w:eastAsia="fr-FR"/>
        </w:rPr>
        <w:tab/>
      </w:r>
      <w:r w:rsidRPr="002B2F0B">
        <w:rPr>
          <w:b/>
          <w:bCs/>
          <w:i/>
          <w:iCs/>
          <w:szCs w:val="24"/>
          <w:lang w:eastAsia="fr-FR"/>
        </w:rPr>
        <w:t>l'octroi à l'autorité chargée de l'obtention d'informations d'un</w:t>
      </w:r>
      <w:r w:rsidRPr="002B2F0B">
        <w:rPr>
          <w:szCs w:val="24"/>
          <w:lang w:eastAsia="fr-FR"/>
        </w:rPr>
        <w:t xml:space="preserve"> accès aux informations </w:t>
      </w:r>
      <w:r w:rsidRPr="002B2F0B">
        <w:rPr>
          <w:b/>
          <w:bCs/>
          <w:i/>
          <w:iCs/>
          <w:szCs w:val="24"/>
          <w:lang w:eastAsia="fr-FR"/>
        </w:rPr>
        <w:t>concernées</w:t>
      </w:r>
      <w:r w:rsidRPr="002B2F0B">
        <w:rPr>
          <w:szCs w:val="24"/>
          <w:lang w:eastAsia="fr-FR"/>
        </w:rPr>
        <w:t xml:space="preserve"> ▌lorsque ces informations sont détenues par des autorités ou administrations publiques et sont consignées dans des registres ou sous une autre forme; </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c)</w:t>
      </w:r>
      <w:r w:rsidRPr="002B2F0B">
        <w:rPr>
          <w:b/>
          <w:bCs/>
          <w:i/>
          <w:iCs/>
          <w:szCs w:val="24"/>
          <w:lang w:eastAsia="fr-FR"/>
        </w:rPr>
        <w:tab/>
        <w:t xml:space="preserve">la possibilité pour ses juridictions d'obliger le débiteur à indiquer dans quelle(s) banques(s) établie(s) sur son territoire il détient un ou plusieurs comptes, dans le cas où cette obligation est accompagnée d'une ordonnance in personam de la juridiction lui interdisant de procéder au retrait ou au transfert des fonds qu'il détient sur son ou ses comptes à hauteur du montant devant faire l'objet de la saisie conservatoire par l’effet de l’ordonnance de saisie conservatoire; ou </w:t>
      </w:r>
    </w:p>
    <w:p w:rsidR="002022AB" w:rsidRPr="002B2F0B" w:rsidRDefault="002022AB" w:rsidP="00075179">
      <w:pPr>
        <w:spacing w:before="120" w:after="120" w:line="360" w:lineRule="auto"/>
        <w:ind w:left="1417" w:hanging="567"/>
        <w:rPr>
          <w:b/>
          <w:bCs/>
          <w:i/>
          <w:iCs/>
          <w:szCs w:val="24"/>
          <w:lang w:eastAsia="fr-FR"/>
        </w:rPr>
      </w:pPr>
      <w:r w:rsidRPr="002B2F0B">
        <w:rPr>
          <w:b/>
          <w:bCs/>
          <w:i/>
          <w:iCs/>
          <w:szCs w:val="24"/>
          <w:lang w:eastAsia="fr-FR"/>
        </w:rPr>
        <w:t>d)</w:t>
      </w:r>
      <w:r w:rsidRPr="002B2F0B">
        <w:rPr>
          <w:b/>
          <w:bCs/>
          <w:i/>
          <w:iCs/>
          <w:szCs w:val="24"/>
          <w:lang w:eastAsia="fr-FR"/>
        </w:rPr>
        <w:tab/>
        <w:t>toute autre méthode efficace et efficiente aux fins de l'obtention des informations concernées à condition qu'elle ne soit pas disproportionnée en termes de coût et de temps.</w:t>
      </w:r>
    </w:p>
    <w:p w:rsidR="002022AB" w:rsidRPr="002B2F0B" w:rsidRDefault="002022AB" w:rsidP="00075179">
      <w:pPr>
        <w:spacing w:before="120" w:after="120" w:line="360" w:lineRule="auto"/>
        <w:ind w:left="851"/>
        <w:rPr>
          <w:b/>
          <w:bCs/>
          <w:i/>
          <w:iCs/>
          <w:szCs w:val="24"/>
          <w:lang w:eastAsia="fr-FR"/>
        </w:rPr>
      </w:pPr>
      <w:r w:rsidRPr="002B2F0B">
        <w:rPr>
          <w:b/>
          <w:bCs/>
          <w:i/>
          <w:iCs/>
          <w:szCs w:val="24"/>
          <w:lang w:eastAsia="fr-FR"/>
        </w:rPr>
        <w:t xml:space="preserve">Quelle que soit la ou les méthodes prévues par un État membre, toutes les autorités participant à l'obtention d'informations agissent avec célérité. </w:t>
      </w:r>
    </w:p>
    <w:p w:rsidR="002022AB" w:rsidRPr="002B2F0B" w:rsidRDefault="002022AB" w:rsidP="00075179">
      <w:pPr>
        <w:spacing w:before="120" w:after="120" w:line="360" w:lineRule="auto"/>
        <w:ind w:left="851" w:hanging="851"/>
        <w:rPr>
          <w:b/>
          <w:i/>
          <w:iCs/>
          <w:szCs w:val="24"/>
          <w:lang w:eastAsia="fr-FR"/>
        </w:rPr>
      </w:pPr>
      <w:r w:rsidRPr="002B2F0B">
        <w:rPr>
          <w:b/>
          <w:i/>
          <w:iCs/>
          <w:szCs w:val="24"/>
          <w:lang w:eastAsia="fr-FR"/>
        </w:rPr>
        <w:t>6.</w:t>
      </w:r>
      <w:r w:rsidRPr="002B2F0B">
        <w:rPr>
          <w:b/>
          <w:i/>
          <w:iCs/>
          <w:szCs w:val="24"/>
          <w:lang w:eastAsia="fr-FR"/>
        </w:rPr>
        <w:tab/>
        <w:t xml:space="preserve">Dès que l'autorité chargée de l'obtention d'informations de l'État membre d'exécution a obtenu les informations relatives aux comptes, elle les transmet à la juridiction qui les a demandées conformément à l'article 29. </w:t>
      </w:r>
    </w:p>
    <w:p w:rsidR="002022AB" w:rsidRPr="002B2F0B" w:rsidRDefault="002022AB" w:rsidP="00075179">
      <w:pPr>
        <w:widowControl w:val="0"/>
        <w:jc w:val="right"/>
        <w:rPr>
          <w:b/>
          <w:i/>
          <w:i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b/>
          <w:i/>
          <w:iCs/>
          <w:szCs w:val="24"/>
          <w:lang w:eastAsia="fr-FR"/>
        </w:rPr>
      </w:pPr>
      <w:r w:rsidRPr="002B2F0B">
        <w:rPr>
          <w:b/>
          <w:i/>
          <w:iCs/>
          <w:szCs w:val="24"/>
          <w:lang w:eastAsia="fr-FR"/>
        </w:rPr>
        <w:t>7.</w:t>
      </w:r>
      <w:r w:rsidRPr="002B2F0B">
        <w:rPr>
          <w:b/>
          <w:i/>
          <w:iCs/>
          <w:szCs w:val="24"/>
          <w:lang w:eastAsia="fr-FR"/>
        </w:rPr>
        <w:tab/>
        <w:t xml:space="preserve">Lorsque l'autorité chargée de l'obtention d'informations n'est pas en mesure d'obtenir les informations visées au paragraphe 1, elle en informe la juridiction qui les a demandées. Lorsque, du fait de la non-disponibilité des informations relatives aux comptes, la demande d'ordonnance de saisie conservatoire est rejetée dans son intégralité, la juridiction qui a demandé les informations libère sans tarder toute garantie que le créancier peut avoir constituée en vertu de l'article 12. </w:t>
      </w:r>
    </w:p>
    <w:p w:rsidR="002022AB" w:rsidRPr="002B2F0B" w:rsidRDefault="002022AB" w:rsidP="00075179">
      <w:pPr>
        <w:spacing w:before="120" w:after="120" w:line="360" w:lineRule="auto"/>
        <w:ind w:left="850" w:hanging="850"/>
        <w:rPr>
          <w:b/>
          <w:i/>
          <w:iCs/>
          <w:szCs w:val="24"/>
          <w:lang w:eastAsia="fr-FR"/>
        </w:rPr>
      </w:pPr>
      <w:r w:rsidRPr="002B2F0B">
        <w:rPr>
          <w:b/>
          <w:i/>
          <w:iCs/>
          <w:szCs w:val="24"/>
          <w:lang w:eastAsia="fr-FR"/>
        </w:rPr>
        <w:t xml:space="preserve">8. </w:t>
      </w:r>
      <w:r w:rsidRPr="002B2F0B">
        <w:rPr>
          <w:b/>
          <w:i/>
          <w:iCs/>
          <w:szCs w:val="24"/>
          <w:lang w:eastAsia="fr-FR"/>
        </w:rPr>
        <w:tab/>
        <w:t>Lorsque, au titre du présent article, une banque fournit des informations à l'autorité chargée de l'obtention d'informations ou que l'accès aux informations relatives aux comptes détenues par des autorités ou administrations publiques dans des registres est accordé à ladite autorité, la notification au débiteur de la divulgation de ses données à caractère personnel est reportée de trente jours afin d'empêcher qu'une notification précoce ne compromette les effets de l'ordonnance de saisie conservatoire.</w:t>
      </w:r>
    </w:p>
    <w:p w:rsidR="002022AB" w:rsidRPr="002B2F0B" w:rsidRDefault="002022AB" w:rsidP="00075179">
      <w:pPr>
        <w:spacing w:before="120" w:after="120" w:line="360" w:lineRule="auto"/>
        <w:ind w:left="850" w:hanging="850"/>
        <w:rPr>
          <w:b/>
          <w:i/>
          <w:iCs/>
          <w:szCs w:val="24"/>
          <w:lang w:eastAsia="fr-FR"/>
        </w:rPr>
      </w:pPr>
      <w:r w:rsidRPr="002B2F0B">
        <w:rPr>
          <w:b/>
          <w:i/>
          <w:iCs/>
          <w:szCs w:val="24"/>
          <w:lang w:eastAsia="fr-FR"/>
        </w:rPr>
        <w:t>▌</w:t>
      </w:r>
    </w:p>
    <w:p w:rsidR="002022AB" w:rsidRPr="002B2F0B" w:rsidRDefault="002022AB" w:rsidP="00075179">
      <w:pPr>
        <w:keepNext/>
        <w:spacing w:before="120" w:after="120" w:line="360" w:lineRule="auto"/>
        <w:jc w:val="center"/>
        <w:rPr>
          <w:b/>
          <w:i/>
          <w:szCs w:val="24"/>
          <w:lang w:eastAsia="fr-FR"/>
        </w:rPr>
      </w:pPr>
      <w:r w:rsidRPr="002B2F0B">
        <w:rPr>
          <w:b/>
          <w:i/>
          <w:szCs w:val="24"/>
          <w:lang w:eastAsia="fr-FR"/>
        </w:rPr>
        <w:t>Article 15</w:t>
      </w:r>
      <w:r w:rsidRPr="002B2F0B">
        <w:rPr>
          <w:b/>
          <w:i/>
          <w:szCs w:val="24"/>
          <w:lang w:eastAsia="fr-FR"/>
        </w:rPr>
        <w:br/>
        <w:t xml:space="preserve">Intérêts et frais </w:t>
      </w:r>
    </w:p>
    <w:p w:rsidR="002022AB" w:rsidRPr="002B2F0B" w:rsidRDefault="002022AB" w:rsidP="00075179">
      <w:pPr>
        <w:spacing w:before="120" w:after="120" w:line="360" w:lineRule="auto"/>
        <w:ind w:left="850" w:hanging="850"/>
        <w:rPr>
          <w:b/>
          <w:i/>
          <w:szCs w:val="24"/>
          <w:lang w:eastAsia="fr-FR"/>
        </w:rPr>
      </w:pPr>
      <w:r w:rsidRPr="002B2F0B">
        <w:rPr>
          <w:b/>
          <w:i/>
          <w:szCs w:val="24"/>
          <w:lang w:eastAsia="fr-FR"/>
        </w:rPr>
        <w:t>1.</w:t>
      </w:r>
      <w:r w:rsidRPr="002B2F0B">
        <w:rPr>
          <w:b/>
          <w:i/>
          <w:szCs w:val="24"/>
          <w:lang w:eastAsia="fr-FR"/>
        </w:rPr>
        <w:tab/>
        <w:t>À la demande du créancier, l'ordonnance de saisie conservatoire couvre tous les intérêts échus au titre de la loi applicable à la créance jusqu'à la date de délivrance de l'ordonnance à condition que le montant ou le type d’intérêts ne soit pas d'une telle nature que son inclusion constitue une violation des lois de police de l'État membre d'origine.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b/>
          <w:i/>
          <w:szCs w:val="24"/>
          <w:lang w:eastAsia="fr-FR"/>
        </w:rPr>
      </w:pPr>
      <w:r w:rsidRPr="002B2F0B">
        <w:rPr>
          <w:b/>
          <w:i/>
          <w:szCs w:val="24"/>
          <w:lang w:eastAsia="fr-FR"/>
        </w:rPr>
        <w:t>2.</w:t>
      </w:r>
      <w:r w:rsidRPr="002B2F0B">
        <w:rPr>
          <w:b/>
          <w:i/>
          <w:szCs w:val="24"/>
          <w:lang w:eastAsia="fr-FR"/>
        </w:rPr>
        <w:tab/>
        <w:t xml:space="preserve">Lorsque le créancier a déjà obtenu une décision, une transaction judiciaire ou un acte authentique, l'ordonnance de saisie conservatoire couvre, à la demande du créancier, aussi les frais d'obtention de cette décision, de cette transaction ou de cet acte, dans la mesure où il a été décidé que ces frais doivent être supportés par le débiteur. </w:t>
      </w:r>
    </w:p>
    <w:p w:rsidR="002022AB" w:rsidRPr="002B2F0B" w:rsidRDefault="002022AB" w:rsidP="00075179">
      <w:pPr>
        <w:spacing w:before="120" w:after="120" w:line="360" w:lineRule="auto"/>
        <w:ind w:left="850" w:hanging="850"/>
        <w:rPr>
          <w:bCs/>
          <w:i/>
          <w:szCs w:val="24"/>
          <w:lang w:eastAsia="fr-FR"/>
        </w:rPr>
      </w:pPr>
      <w:r w:rsidRPr="002B2F0B">
        <w:rPr>
          <w:bCs/>
          <w:i/>
          <w:szCs w:val="24"/>
          <w:lang w:eastAsia="fr-FR"/>
        </w:rPr>
        <w:t>▌</w:t>
      </w:r>
    </w:p>
    <w:p w:rsidR="002022AB" w:rsidRPr="002B2F0B" w:rsidRDefault="002022AB" w:rsidP="00075179">
      <w:pPr>
        <w:spacing w:before="120" w:after="120" w:line="360" w:lineRule="auto"/>
        <w:jc w:val="center"/>
        <w:rPr>
          <w:b/>
          <w:bCs/>
          <w:i/>
          <w:szCs w:val="24"/>
          <w:lang w:eastAsia="fr-FR"/>
        </w:rPr>
      </w:pPr>
      <w:r w:rsidRPr="002B2F0B">
        <w:rPr>
          <w:b/>
          <w:bCs/>
          <w:i/>
          <w:szCs w:val="24"/>
          <w:lang w:eastAsia="fr-FR"/>
        </w:rPr>
        <w:t>Article 16</w:t>
      </w:r>
      <w:r w:rsidRPr="002B2F0B">
        <w:rPr>
          <w:b/>
          <w:bCs/>
          <w:i/>
          <w:szCs w:val="24"/>
          <w:lang w:eastAsia="fr-FR"/>
        </w:rPr>
        <w:br/>
        <w:t>Demandes parallèles</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1.</w:t>
      </w:r>
      <w:r w:rsidRPr="002B2F0B">
        <w:rPr>
          <w:b/>
          <w:bCs/>
          <w:i/>
          <w:szCs w:val="24"/>
          <w:lang w:eastAsia="fr-FR"/>
        </w:rPr>
        <w:tab/>
        <w:t>Le créancier ne peut pas introduire devant plusieurs juridictions en même temps des demandes parallèles d'ordonnance de saisie conservatoire à l'encontre du même débiteur et visant à garantir la même créance.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2.</w:t>
      </w:r>
      <w:r w:rsidRPr="002B2F0B">
        <w:rPr>
          <w:b/>
          <w:bCs/>
          <w:i/>
          <w:szCs w:val="24"/>
          <w:lang w:eastAsia="fr-FR"/>
        </w:rPr>
        <w:tab/>
        <w:t>Dans sa demande d'ordonnance de saisie conservatoire, le créancier fait une déclaration indiquant s'il a introduit auprès d'une autre juridiction ou autorité une demande d'ordonnance équivalente sur le plan national à l'encontre du même débiteur et visant à garantir la même créance ou s'il a déjà obtenu une telle ordonnance. Il fait également état de toute demande d'ordonnance qui aurait été rejetée comme irrecevable ou non fondée.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3.</w:t>
      </w:r>
      <w:r w:rsidRPr="002B2F0B">
        <w:rPr>
          <w:b/>
          <w:bCs/>
          <w:i/>
          <w:szCs w:val="24"/>
          <w:lang w:eastAsia="fr-FR"/>
        </w:rPr>
        <w:tab/>
        <w:t>Lorsque, au cours de la procédure de délivrance d'une ordonnance de saisie conservatoire, le créancier obtient une ordonnance équivalente sur le plan national à l'encontre du même débiteur et visant à garantir la même créance, il en informe sans tarder la juridiction et lui communique sans tarder toute mise en œuvre ultérieure de l'ordonnance nationale accordée. Il informe également la juridiction de toute demande d'ordonnance équivalente sur le plan national qui a été rejetée comme irrecevable ou non fondée.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4.</w:t>
      </w:r>
      <w:r w:rsidRPr="002B2F0B">
        <w:rPr>
          <w:b/>
          <w:bCs/>
          <w:i/>
          <w:szCs w:val="24"/>
          <w:lang w:eastAsia="fr-FR"/>
        </w:rPr>
        <w:tab/>
        <w:t>Dans le cas où la juridiction est informée que le créancier a déjà obtenu une ordonnance équivalente sur le plan national, elle examine, compte tenu de toutes les circonstances de l'espèce, s'il est toujours approprié de délivrer l'ordonnance de saisie conservatoire, en tout ou en partie.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w:t>
      </w:r>
    </w:p>
    <w:p w:rsidR="002022AB" w:rsidRPr="002B2F0B" w:rsidRDefault="002022AB" w:rsidP="00075179">
      <w:pPr>
        <w:keepNext/>
        <w:spacing w:before="360" w:after="120" w:line="360" w:lineRule="auto"/>
        <w:jc w:val="center"/>
        <w:rPr>
          <w:b/>
          <w:bCs/>
          <w:i/>
          <w:szCs w:val="24"/>
          <w:lang w:eastAsia="fr-FR"/>
        </w:rPr>
      </w:pPr>
      <w:r w:rsidRPr="002B2F0B">
        <w:rPr>
          <w:b/>
          <w:bCs/>
          <w:i/>
          <w:szCs w:val="24"/>
          <w:lang w:eastAsia="fr-FR"/>
        </w:rPr>
        <w:t>Article 17</w:t>
      </w:r>
      <w:r w:rsidRPr="002B2F0B">
        <w:rPr>
          <w:b/>
          <w:bCs/>
          <w:i/>
          <w:szCs w:val="24"/>
          <w:lang w:eastAsia="fr-FR"/>
        </w:rPr>
        <w:br/>
        <w:t>Décision sur la demande d'ordonnance de saisie conservatoire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1.</w:t>
      </w:r>
      <w:r w:rsidRPr="002B2F0B">
        <w:rPr>
          <w:b/>
          <w:bCs/>
          <w:i/>
          <w:szCs w:val="24"/>
          <w:lang w:eastAsia="fr-FR"/>
        </w:rPr>
        <w:tab/>
        <w:t>La juridiction saisie d'une demande d'ordonnance de saisie conservatoire examine si les conditions et exigences énoncées dans le présent règlement sont réunies.</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 xml:space="preserve">2. </w:t>
      </w:r>
      <w:r w:rsidRPr="002B2F0B">
        <w:rPr>
          <w:b/>
          <w:bCs/>
          <w:i/>
          <w:szCs w:val="24"/>
          <w:lang w:eastAsia="fr-FR"/>
        </w:rPr>
        <w:tab/>
        <w:t xml:space="preserve">La juridiction statue sans tarder sur la demande, mais au plus tard à la date d'expiration des délais prévus à l'article 18. </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3.</w:t>
      </w:r>
      <w:r w:rsidRPr="002B2F0B">
        <w:rPr>
          <w:b/>
          <w:bCs/>
          <w:i/>
          <w:szCs w:val="24"/>
          <w:lang w:eastAsia="fr-FR"/>
        </w:rPr>
        <w:tab/>
        <w:t>Lorsque le créancier n'a pas fourni toutes les informations requises en vertu de l'article 8, la juridiction peut donner au créancier la possibilité de compléter ou de rectifier la demande dans un délai à préciser par la juridiction, à moins que la demande ne soit manifestement irrecevable ou non fondée. Si le créancier omet de compléter ou de rectifier la demande dans ledit délai, la demande est rejetée.</w:t>
      </w:r>
      <w:r w:rsidRPr="002B2F0B">
        <w:rPr>
          <w:b/>
          <w:bCs/>
          <w:i/>
          <w:szCs w:val="24"/>
          <w:vertAlign w:val="superscript"/>
          <w:lang w:eastAsia="fr-FR"/>
        </w:rPr>
        <w:t xml:space="preserve"> </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4.</w:t>
      </w:r>
      <w:r w:rsidRPr="002B2F0B">
        <w:rPr>
          <w:b/>
          <w:bCs/>
          <w:i/>
          <w:szCs w:val="24"/>
          <w:lang w:eastAsia="fr-FR"/>
        </w:rPr>
        <w:tab/>
        <w:t>L'ordonnance de saisie conservatoire est délivrée pour le montant justifié par les éléments de preuve visés à l'article 9 et déterminé selon le droit applicable à la créance sous</w:t>
      </w:r>
      <w:r w:rsidRPr="002B2F0B">
        <w:rPr>
          <w:b/>
          <w:bCs/>
          <w:i/>
          <w:szCs w:val="24"/>
          <w:lang w:eastAsia="fr-FR"/>
        </w:rPr>
        <w:noBreakHyphen/>
        <w:t xml:space="preserve">jacente et inclut, le cas échéant, les intérêts et/ou les frais en vertu de l'article 15. </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ab/>
        <w:t>L'ordonnance ne peut en aucun cas être délivrée pour un montant supérieur à celui indiqué par le créancier dans sa demande.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 xml:space="preserve">5. </w:t>
      </w:r>
      <w:r w:rsidRPr="002B2F0B">
        <w:rPr>
          <w:b/>
          <w:bCs/>
          <w:i/>
          <w:szCs w:val="24"/>
          <w:lang w:eastAsia="fr-FR"/>
        </w:rPr>
        <w:tab/>
        <w:t>La décision sur la demande est portée à la connaissance du créancier conformément à la procédure prévue par le droit de l'État membre d'origine pour des ordonnances équivalentes sur le plan national.</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w:t>
      </w:r>
    </w:p>
    <w:p w:rsidR="002022AB" w:rsidRPr="002B2F0B" w:rsidRDefault="002022AB" w:rsidP="00075179">
      <w:pPr>
        <w:spacing w:before="120" w:after="120" w:line="360" w:lineRule="auto"/>
        <w:ind w:left="850" w:hanging="850"/>
        <w:rPr>
          <w:szCs w:val="24"/>
          <w:lang w:eastAsia="fr-FR"/>
        </w:rPr>
      </w:pPr>
      <w:r w:rsidRPr="002B2F0B">
        <w:rPr>
          <w:b/>
          <w:bCs/>
          <w:i/>
          <w:szCs w:val="24"/>
          <w:lang w:eastAsia="fr-FR"/>
        </w:rPr>
        <w:br w:type="page"/>
      </w:r>
    </w:p>
    <w:p w:rsidR="002022AB" w:rsidRPr="002B2F0B" w:rsidRDefault="002022AB" w:rsidP="00075179">
      <w:pPr>
        <w:spacing w:before="120" w:after="120" w:line="360" w:lineRule="auto"/>
        <w:ind w:left="850" w:hanging="850"/>
        <w:jc w:val="center"/>
        <w:rPr>
          <w:b/>
          <w:bCs/>
          <w:i/>
          <w:szCs w:val="24"/>
          <w:lang w:eastAsia="fr-FR"/>
        </w:rPr>
      </w:pPr>
      <w:r w:rsidRPr="002B2F0B">
        <w:rPr>
          <w:b/>
          <w:bCs/>
          <w:i/>
          <w:szCs w:val="24"/>
          <w:lang w:eastAsia="fr-FR"/>
        </w:rPr>
        <w:t>Article 18</w:t>
      </w:r>
      <w:r w:rsidRPr="002B2F0B">
        <w:rPr>
          <w:b/>
          <w:bCs/>
          <w:i/>
          <w:szCs w:val="24"/>
          <w:lang w:eastAsia="fr-FR"/>
        </w:rPr>
        <w:br/>
        <w:t>Délais impartis pour statuer sur la demande d'ordonnance de saisie conservatoire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1.</w:t>
      </w:r>
      <w:r w:rsidRPr="002B2F0B">
        <w:rPr>
          <w:b/>
          <w:bCs/>
          <w:i/>
          <w:szCs w:val="24"/>
          <w:lang w:eastAsia="fr-FR"/>
        </w:rPr>
        <w:tab/>
        <w:t xml:space="preserve">Lorsque le créancier n'a pas encore obtenu une décision, une transaction judiciaire ou un acte authentique, la juridiction rend sa décision au plus tard à la fin du dixième jour ouvrable suivant le jour auquel le créancier a introduit sa demande ou, le cas échéant, le jour auquel il l'a complétée. </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2.</w:t>
      </w:r>
      <w:r w:rsidRPr="002B2F0B">
        <w:rPr>
          <w:b/>
          <w:bCs/>
          <w:i/>
          <w:szCs w:val="24"/>
          <w:lang w:eastAsia="fr-FR"/>
        </w:rPr>
        <w:tab/>
        <w:t>Lorsque le créancier a déjà obtenu une décision, une transaction judiciaire ou un acte authentique, la juridiction rend sa décision au plus tard à la fin du cinquième jour ouvrable suivant le jour auquel le créancier a introduit sa demande ou, le cas échéant, le jour auquel il l'a complétée.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3.</w:t>
      </w:r>
      <w:r w:rsidRPr="002B2F0B">
        <w:rPr>
          <w:b/>
          <w:bCs/>
          <w:i/>
          <w:szCs w:val="24"/>
          <w:lang w:eastAsia="fr-FR"/>
        </w:rPr>
        <w:tab/>
        <w:t>Lorsque la juridiction considère, en vertu de l'article 9, paragraphe 2, qu'il est nécessaire d'entendre le créancier et, le cas échéant, son ou ses témoins, elle organise une audition sans tarder et rend sa décision au plus tard à la fin du cinquième jour ouvrable suivant la tenue de l'audition.</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4.</w:t>
      </w:r>
      <w:r w:rsidRPr="002B2F0B">
        <w:rPr>
          <w:b/>
          <w:bCs/>
          <w:i/>
          <w:szCs w:val="24"/>
          <w:lang w:eastAsia="fr-FR"/>
        </w:rPr>
        <w:tab/>
        <w:t>Dans les situations visées à l'article 12, les délais prévus aux paragraphes 1, 2 et 3 du présent article s'appliquent à la décision qui exige du créancier qu'il constitue une garantie. La juridiction rend sa décision sur la demande d'ordonnance de saisie conservatoire sans tarder, dès que le créancier a constitué la garantie requise.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5.</w:t>
      </w:r>
      <w:r w:rsidRPr="002B2F0B">
        <w:rPr>
          <w:b/>
          <w:bCs/>
          <w:i/>
          <w:szCs w:val="24"/>
          <w:lang w:eastAsia="fr-FR"/>
        </w:rPr>
        <w:tab/>
        <w:t>Nonobstant les paragraphes 1, 2 et 3 du présent article, dans les cas visés à l'article 14, la juridiction rend sa décision sans tarder dès réception des informations visées à l'article 14, paragraphe 6 ou 7, pour autant qu'à ce moment, le créancier ait constitué toute garantie requise.</w:t>
      </w:r>
    </w:p>
    <w:p w:rsidR="002022AB" w:rsidRPr="002B2F0B" w:rsidRDefault="002022AB" w:rsidP="00075179">
      <w:pPr>
        <w:keepNext/>
        <w:spacing w:before="120" w:after="120" w:line="360" w:lineRule="auto"/>
        <w:jc w:val="center"/>
        <w:rPr>
          <w:b/>
          <w:bCs/>
          <w:i/>
          <w:szCs w:val="24"/>
          <w:lang w:eastAsia="fr-FR"/>
        </w:rPr>
      </w:pPr>
      <w:r w:rsidRPr="002B2F0B">
        <w:rPr>
          <w:b/>
          <w:bCs/>
          <w:i/>
          <w:szCs w:val="24"/>
          <w:lang w:eastAsia="fr-FR"/>
        </w:rPr>
        <w:t>Article 19</w:t>
      </w:r>
      <w:r w:rsidRPr="002B2F0B">
        <w:rPr>
          <w:b/>
          <w:bCs/>
          <w:i/>
          <w:szCs w:val="24"/>
          <w:lang w:eastAsia="fr-FR"/>
        </w:rPr>
        <w:br/>
        <w:t>Forme et contenu de l'ordonnance de saisie conservatoire</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1.</w:t>
      </w:r>
      <w:r w:rsidRPr="002B2F0B">
        <w:rPr>
          <w:b/>
          <w:bCs/>
          <w:i/>
          <w:szCs w:val="24"/>
          <w:lang w:eastAsia="fr-FR"/>
        </w:rPr>
        <w:tab/>
        <w:t xml:space="preserve">L'ordonnance de saisie conservatoire est délivrée en utilisant le formulaire dont le modèle est établi au moyen d'actes d'exécution adoptés en conformité avec la procédure consultative visée à l'article 52, paragraphe 2, et porte le cachet, la signature et /ou toute autre marque d'authentification de la juridiction. Le formulaire comporte deux parties: </w:t>
      </w:r>
    </w:p>
    <w:p w:rsidR="002022AB" w:rsidRPr="002B2F0B" w:rsidRDefault="002022AB" w:rsidP="00075179">
      <w:pPr>
        <w:spacing w:before="120" w:after="120" w:line="360" w:lineRule="auto"/>
        <w:ind w:left="1418" w:hanging="567"/>
        <w:rPr>
          <w:b/>
          <w:bCs/>
          <w:i/>
          <w:szCs w:val="24"/>
          <w:lang w:eastAsia="fr-FR"/>
        </w:rPr>
      </w:pPr>
      <w:r w:rsidRPr="002B2F0B">
        <w:rPr>
          <w:b/>
          <w:bCs/>
          <w:i/>
          <w:szCs w:val="24"/>
          <w:lang w:eastAsia="fr-FR"/>
        </w:rPr>
        <w:t>a)</w:t>
      </w:r>
      <w:r w:rsidRPr="002B2F0B">
        <w:rPr>
          <w:b/>
          <w:bCs/>
          <w:i/>
          <w:szCs w:val="24"/>
          <w:lang w:eastAsia="fr-FR"/>
        </w:rPr>
        <w:tab/>
        <w:t>la partie A, contenant les informations énoncées au paragraphe 2, qui doivent être fournies à la banque, au créancier et au débiteur; et</w:t>
      </w:r>
    </w:p>
    <w:p w:rsidR="002022AB" w:rsidRPr="002B2F0B" w:rsidRDefault="002022AB" w:rsidP="00075179">
      <w:pPr>
        <w:spacing w:before="120" w:after="120" w:line="360" w:lineRule="auto"/>
        <w:ind w:left="1418" w:hanging="567"/>
        <w:rPr>
          <w:b/>
          <w:bCs/>
          <w:i/>
          <w:szCs w:val="24"/>
          <w:lang w:eastAsia="fr-FR"/>
        </w:rPr>
      </w:pPr>
      <w:r w:rsidRPr="002B2F0B">
        <w:rPr>
          <w:b/>
          <w:bCs/>
          <w:i/>
          <w:szCs w:val="24"/>
          <w:lang w:eastAsia="fr-FR"/>
        </w:rPr>
        <w:t>b)</w:t>
      </w:r>
      <w:r w:rsidRPr="002B2F0B">
        <w:rPr>
          <w:b/>
          <w:bCs/>
          <w:i/>
          <w:szCs w:val="24"/>
          <w:lang w:eastAsia="fr-FR"/>
        </w:rPr>
        <w:tab/>
        <w:t>la partie B, contenant les informations énoncées au paragraphe 3, qui doivent être fournies au créancier et au débiteur, en plus des informations en vertu du paragraphe 2.</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2.</w:t>
      </w:r>
      <w:r w:rsidRPr="002B2F0B">
        <w:rPr>
          <w:b/>
          <w:bCs/>
          <w:i/>
          <w:szCs w:val="24"/>
          <w:lang w:eastAsia="fr-FR"/>
        </w:rPr>
        <w:tab/>
        <w:t>La partie A comprend les informations suivantes:</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a)</w:t>
      </w:r>
      <w:r w:rsidRPr="002B2F0B">
        <w:rPr>
          <w:b/>
          <w:bCs/>
          <w:i/>
          <w:szCs w:val="24"/>
          <w:lang w:eastAsia="fr-FR"/>
        </w:rPr>
        <w:tab/>
        <w:t>le nom et l'adresse de la juridiction et le numéro de dossier de l'affaire;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b)</w:t>
      </w:r>
      <w:r w:rsidRPr="002B2F0B">
        <w:rPr>
          <w:b/>
          <w:bCs/>
          <w:i/>
          <w:szCs w:val="24"/>
          <w:lang w:eastAsia="fr-FR"/>
        </w:rPr>
        <w:tab/>
        <w:t>les renseignements concernant le créancier indiqués à l'article 8, paragraphe 2, point b);</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c)</w:t>
      </w:r>
      <w:r w:rsidRPr="002B2F0B">
        <w:rPr>
          <w:b/>
          <w:bCs/>
          <w:i/>
          <w:szCs w:val="24"/>
          <w:lang w:eastAsia="fr-FR"/>
        </w:rPr>
        <w:tab/>
        <w:t>les renseignements concernant le débiteur indiqués à l'article 8, paragraphe 2, point c);</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d)</w:t>
      </w:r>
      <w:r w:rsidRPr="002B2F0B">
        <w:rPr>
          <w:b/>
          <w:bCs/>
          <w:i/>
          <w:szCs w:val="24"/>
          <w:lang w:eastAsia="fr-FR"/>
        </w:rPr>
        <w:tab/>
        <w:t>le nom et l'adresse de la banque concernée par l'ordonnance;</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e)</w:t>
      </w:r>
      <w:r w:rsidRPr="002B2F0B">
        <w:rPr>
          <w:b/>
          <w:bCs/>
          <w:i/>
          <w:szCs w:val="24"/>
          <w:lang w:eastAsia="fr-FR"/>
        </w:rPr>
        <w:tab/>
        <w:t>si le créancier a indiqué le numéro de compte du débiteur dans la demande, le numéro du ou des comptes devant faire l'objet de la saisie conservatoire et, le cas échéant, l'indication permettant de savoir si tout autre compte détenu par le débiteur auprès de la même banque doit ou non faire également l'objet de la saisie conservatoire;</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f)</w:t>
      </w:r>
      <w:r w:rsidRPr="002B2F0B">
        <w:rPr>
          <w:b/>
          <w:bCs/>
          <w:i/>
          <w:szCs w:val="24"/>
          <w:lang w:eastAsia="fr-FR"/>
        </w:rPr>
        <w:tab/>
        <w:t>le cas échéant, l'indication que le numéro de tout compte devant faire l'objet de la saisie conservatoire a été obtenu au moyen d'une demande en vertu de l'article 14 et que la banque doit, si nécessaire en vertu de l'article 24, paragraphe 4, deuxième alinéa, obtenir le ou les numéros concernés auprès de l'autorité chargée de l'obtention d'informations de l'État membre d'exécution;</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g)</w:t>
      </w:r>
      <w:r w:rsidRPr="002B2F0B">
        <w:rPr>
          <w:b/>
          <w:bCs/>
          <w:i/>
          <w:szCs w:val="24"/>
          <w:lang w:eastAsia="fr-FR"/>
        </w:rPr>
        <w:tab/>
        <w:t>le montant devant faire l’objet d’une saisie conservatoire par l'effet de l'ordonnance;</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h)</w:t>
      </w:r>
      <w:r w:rsidRPr="002B2F0B">
        <w:rPr>
          <w:b/>
          <w:bCs/>
          <w:i/>
          <w:szCs w:val="24"/>
          <w:lang w:eastAsia="fr-FR"/>
        </w:rPr>
        <w:tab/>
        <w:t>l'instruction donnée à la banque de mettre en œuvre l'ordonnance conformément à l'article 24;</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i)</w:t>
      </w:r>
      <w:r w:rsidRPr="002B2F0B">
        <w:rPr>
          <w:b/>
          <w:bCs/>
          <w:i/>
          <w:szCs w:val="24"/>
          <w:lang w:eastAsia="fr-FR"/>
        </w:rPr>
        <w:tab/>
        <w:t>la date de délivrance de l'ordonnance;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j)</w:t>
      </w:r>
      <w:r w:rsidRPr="002B2F0B">
        <w:rPr>
          <w:b/>
          <w:bCs/>
          <w:i/>
          <w:szCs w:val="24"/>
          <w:lang w:eastAsia="fr-FR"/>
        </w:rPr>
        <w:tab/>
        <w:t>si le créancier a indiqué un compte dans sa demande, en vertu de l'article 8, paragraphe 2, point n), une autorisation donnée à la banque, en vertu de l'article 24, paragraphe 3, de libérer des fonds, si le débiteur en fait la demande et si le droit de l'État membre d'exécution l'autorise, du compte faisant l'objet de la saisie conservatoire, à concurrence du montant précisé dans l'ordonnance, et de les transférer au compte indiqué par le créancier dans sa demande;</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k)</w:t>
      </w:r>
      <w:r w:rsidRPr="002B2F0B">
        <w:rPr>
          <w:b/>
          <w:bCs/>
          <w:i/>
          <w:szCs w:val="24"/>
          <w:lang w:eastAsia="fr-FR"/>
        </w:rPr>
        <w:tab/>
        <w:t>des informations permettant de savoir où trouver la version électronique du formulaire à utiliser pour la déclaration en vertu de l'article 25.</w:t>
      </w:r>
    </w:p>
    <w:p w:rsidR="002022AB" w:rsidRPr="002B2F0B" w:rsidRDefault="002022AB" w:rsidP="00075179">
      <w:pPr>
        <w:spacing w:before="120" w:after="120" w:line="360" w:lineRule="auto"/>
        <w:ind w:left="850" w:hanging="850"/>
        <w:rPr>
          <w:b/>
          <w:bCs/>
          <w:i/>
          <w:szCs w:val="24"/>
          <w:lang w:eastAsia="fr-FR"/>
        </w:rPr>
      </w:pPr>
      <w:r w:rsidRPr="002B2F0B">
        <w:rPr>
          <w:b/>
          <w:bCs/>
          <w:i/>
          <w:szCs w:val="24"/>
          <w:lang w:eastAsia="fr-FR"/>
        </w:rPr>
        <w:t>3.</w:t>
      </w:r>
      <w:r w:rsidRPr="002B2F0B">
        <w:rPr>
          <w:b/>
          <w:bCs/>
          <w:i/>
          <w:szCs w:val="24"/>
          <w:lang w:eastAsia="fr-FR"/>
        </w:rPr>
        <w:tab/>
        <w:t>La partie B comprend les informations suivantes:</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a)</w:t>
      </w:r>
      <w:r w:rsidRPr="002B2F0B">
        <w:rPr>
          <w:b/>
          <w:bCs/>
          <w:i/>
          <w:szCs w:val="24"/>
          <w:lang w:eastAsia="fr-FR"/>
        </w:rPr>
        <w:tab/>
        <w:t>une description de l'objet du litige et du raisonnement qui a conduit la juridiction à délivrer l'ordonnance;</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b)</w:t>
      </w:r>
      <w:r w:rsidRPr="002B2F0B">
        <w:rPr>
          <w:b/>
          <w:bCs/>
          <w:i/>
          <w:szCs w:val="24"/>
          <w:lang w:eastAsia="fr-FR"/>
        </w:rPr>
        <w:tab/>
        <w:t xml:space="preserve">le montant de la garantie éventuelle constituée par le créancier; </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c)</w:t>
      </w:r>
      <w:r w:rsidRPr="002B2F0B">
        <w:rPr>
          <w:b/>
          <w:bCs/>
          <w:i/>
          <w:szCs w:val="24"/>
          <w:lang w:eastAsia="fr-FR"/>
        </w:rPr>
        <w:tab/>
        <w:t xml:space="preserve">le cas échéant, le délai imparti pour engager une procédure au fond et pour en fournir la preuve à la juridiction qui a délivré l'ordonnance; </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d)</w:t>
      </w:r>
      <w:r w:rsidRPr="002B2F0B">
        <w:rPr>
          <w:b/>
          <w:bCs/>
          <w:i/>
          <w:szCs w:val="24"/>
          <w:lang w:eastAsia="fr-FR"/>
        </w:rPr>
        <w:tab/>
        <w:t xml:space="preserve">le cas échéant, l'indication des documents qui doivent être traduits en vertu de l'article 49, paragraphe 1, deuxième phrase; </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e)</w:t>
      </w:r>
      <w:r w:rsidRPr="002B2F0B">
        <w:rPr>
          <w:b/>
          <w:bCs/>
          <w:i/>
          <w:szCs w:val="24"/>
          <w:lang w:eastAsia="fr-FR"/>
        </w:rPr>
        <w:tab/>
        <w:t>le cas échéant, l'indication selon laquelle c'est au créancier qu'il incombe d'engager l'exécution de l'ordonnance et, par conséquent, le cas échéant, l'indication selon laquelle c'est au créancier qu'il incombe de la transmettre à l'autorité compétente de l'État membre d'exécution en vertu de l'article 23, paragraphe 3, et de la signifier ou de la notifier au débiteur en vertu de l'article 28, paragraphes 2, 3 et 4; et</w:t>
      </w:r>
    </w:p>
    <w:p w:rsidR="002022AB" w:rsidRPr="002B2F0B" w:rsidRDefault="002022AB" w:rsidP="00075179">
      <w:pPr>
        <w:spacing w:before="120" w:after="120" w:line="360" w:lineRule="auto"/>
        <w:ind w:left="1417" w:hanging="567"/>
        <w:rPr>
          <w:b/>
          <w:bCs/>
          <w:i/>
          <w:szCs w:val="24"/>
          <w:lang w:eastAsia="fr-FR"/>
        </w:rPr>
      </w:pPr>
      <w:r w:rsidRPr="002B2F0B">
        <w:rPr>
          <w:b/>
          <w:bCs/>
          <w:i/>
          <w:szCs w:val="24"/>
          <w:lang w:eastAsia="fr-FR"/>
        </w:rPr>
        <w:t>f)</w:t>
      </w:r>
      <w:r w:rsidRPr="002B2F0B">
        <w:rPr>
          <w:b/>
          <w:bCs/>
          <w:i/>
          <w:szCs w:val="24"/>
          <w:lang w:eastAsia="fr-FR"/>
        </w:rPr>
        <w:tab/>
        <w:t>des informations sur les voies de recours dont dispose le débiteur.</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4.</w:t>
      </w:r>
      <w:r w:rsidRPr="002B2F0B">
        <w:rPr>
          <w:b/>
          <w:bCs/>
          <w:i/>
          <w:szCs w:val="24"/>
          <w:lang w:eastAsia="fr-FR"/>
        </w:rPr>
        <w:tab/>
        <w:t xml:space="preserve">Lorsque l'ordonnance de saisie conservatoire concerne des comptes détenus dans différentes banques, un formulaire distinct (partie A en vertu du paragraphe 2) est utilisé pour chaque banque. Dans ce cas, le formulaire fourni au créancier et au débiteur (parties A et B en vertu des paragraphes 2 et 3 respectivement) contient une liste de toutes les banques concernées. </w:t>
      </w:r>
    </w:p>
    <w:p w:rsidR="002022AB" w:rsidRPr="002B2F0B" w:rsidRDefault="002022AB" w:rsidP="00075179">
      <w:pPr>
        <w:keepNext/>
        <w:spacing w:before="360" w:after="120" w:line="360" w:lineRule="auto"/>
        <w:jc w:val="center"/>
        <w:rPr>
          <w:b/>
          <w:bCs/>
          <w:i/>
          <w:szCs w:val="24"/>
          <w:lang w:eastAsia="fr-FR"/>
        </w:rPr>
      </w:pPr>
      <w:r w:rsidRPr="002B2F0B">
        <w:rPr>
          <w:b/>
          <w:bCs/>
          <w:i/>
          <w:szCs w:val="24"/>
          <w:lang w:eastAsia="fr-FR"/>
        </w:rPr>
        <w:br w:type="page"/>
        <w:t>Article 20</w:t>
      </w:r>
      <w:r w:rsidRPr="002B2F0B">
        <w:rPr>
          <w:b/>
          <w:bCs/>
          <w:i/>
          <w:szCs w:val="24"/>
          <w:lang w:eastAsia="fr-FR"/>
        </w:rPr>
        <w:br/>
        <w:t xml:space="preserve">Durée de la saisie conservatoire </w:t>
      </w:r>
    </w:p>
    <w:p w:rsidR="002022AB" w:rsidRPr="002B2F0B" w:rsidRDefault="002022AB" w:rsidP="00075179">
      <w:pPr>
        <w:spacing w:before="120" w:after="120" w:line="360" w:lineRule="auto"/>
        <w:rPr>
          <w:b/>
          <w:bCs/>
          <w:i/>
          <w:szCs w:val="24"/>
          <w:lang w:eastAsia="fr-FR"/>
        </w:rPr>
      </w:pPr>
      <w:r w:rsidRPr="002B2F0B">
        <w:rPr>
          <w:b/>
          <w:bCs/>
          <w:i/>
          <w:szCs w:val="24"/>
          <w:lang w:eastAsia="fr-FR"/>
        </w:rPr>
        <w:t xml:space="preserve">Les fonds faisant l’objet de la saisie conservatoire par l’effet de l’ordonnance de saisie conservatoire demeurent saisis à titre conservatoire comme le prévoit l'ordonnance ou toute modification ou limitation ultérieure de cette ordonnance en vertu du chapitre 4: </w:t>
      </w:r>
    </w:p>
    <w:p w:rsidR="002022AB" w:rsidRPr="002B2F0B" w:rsidRDefault="002022AB" w:rsidP="00075179">
      <w:pPr>
        <w:spacing w:before="120" w:after="120" w:line="360" w:lineRule="auto"/>
        <w:ind w:left="567" w:hanging="567"/>
        <w:rPr>
          <w:b/>
          <w:bCs/>
          <w:i/>
          <w:szCs w:val="24"/>
          <w:lang w:eastAsia="fr-FR"/>
        </w:rPr>
      </w:pPr>
      <w:r w:rsidRPr="002B2F0B">
        <w:rPr>
          <w:b/>
          <w:bCs/>
          <w:i/>
          <w:szCs w:val="24"/>
          <w:lang w:eastAsia="fr-FR"/>
        </w:rPr>
        <w:t>a)</w:t>
      </w:r>
      <w:r w:rsidRPr="002B2F0B">
        <w:rPr>
          <w:b/>
          <w:bCs/>
          <w:i/>
          <w:szCs w:val="24"/>
          <w:lang w:eastAsia="fr-FR"/>
        </w:rPr>
        <w:tab/>
        <w:t xml:space="preserve">jusqu'à ce que l'ordonnance soit révoquée; </w:t>
      </w:r>
    </w:p>
    <w:p w:rsidR="002022AB" w:rsidRPr="002B2F0B" w:rsidRDefault="002022AB" w:rsidP="00075179">
      <w:pPr>
        <w:spacing w:before="120" w:after="120" w:line="360" w:lineRule="auto"/>
        <w:ind w:left="567" w:hanging="567"/>
        <w:rPr>
          <w:b/>
          <w:bCs/>
          <w:i/>
          <w:szCs w:val="24"/>
          <w:lang w:eastAsia="fr-FR"/>
        </w:rPr>
      </w:pPr>
      <w:r w:rsidRPr="002B2F0B">
        <w:rPr>
          <w:b/>
          <w:bCs/>
          <w:i/>
          <w:szCs w:val="24"/>
          <w:lang w:eastAsia="fr-FR"/>
        </w:rPr>
        <w:t xml:space="preserve">b) </w:t>
      </w:r>
      <w:r w:rsidRPr="002B2F0B">
        <w:rPr>
          <w:b/>
          <w:bCs/>
          <w:i/>
          <w:szCs w:val="24"/>
          <w:lang w:eastAsia="fr-FR"/>
        </w:rPr>
        <w:tab/>
        <w:t>jusqu'à ce que prenne fin l'exécution de l'ordonnance; ou</w:t>
      </w:r>
    </w:p>
    <w:p w:rsidR="002022AB" w:rsidRPr="002B2F0B" w:rsidRDefault="002022AB" w:rsidP="00075179">
      <w:pPr>
        <w:spacing w:before="120" w:after="120" w:line="360" w:lineRule="auto"/>
        <w:ind w:left="567" w:hanging="567"/>
        <w:rPr>
          <w:b/>
          <w:bCs/>
          <w:i/>
          <w:szCs w:val="24"/>
          <w:lang w:eastAsia="fr-FR"/>
        </w:rPr>
      </w:pPr>
      <w:r w:rsidRPr="002B2F0B">
        <w:rPr>
          <w:b/>
          <w:bCs/>
          <w:i/>
          <w:szCs w:val="24"/>
          <w:lang w:eastAsia="fr-FR"/>
        </w:rPr>
        <w:t>c)</w:t>
      </w:r>
      <w:r w:rsidRPr="002B2F0B">
        <w:rPr>
          <w:b/>
          <w:bCs/>
          <w:i/>
          <w:szCs w:val="24"/>
          <w:lang w:eastAsia="fr-FR"/>
        </w:rPr>
        <w:tab/>
        <w:t>jusqu'à ce qu'une mesure visant à l'exécution d'une décision, d'une transaction judiciaire ou d'un acte authentique obtenu par le créancier au sujet de la créance que l'ordonnance de saisie conservatoire visait à garantir ait pris effet en ce qui concerne les fonds faisant l'objet de la saisie conservatoire par l’effet de ladite ordonnance.</w:t>
      </w:r>
    </w:p>
    <w:p w:rsidR="002022AB" w:rsidRPr="002B2F0B" w:rsidRDefault="002022AB" w:rsidP="00075179">
      <w:pPr>
        <w:spacing w:before="120" w:after="120" w:line="360" w:lineRule="auto"/>
        <w:jc w:val="center"/>
        <w:rPr>
          <w:i/>
          <w:iCs/>
          <w:szCs w:val="24"/>
          <w:lang w:eastAsia="fr-FR"/>
        </w:rPr>
      </w:pPr>
      <w:r w:rsidRPr="002B2F0B">
        <w:rPr>
          <w:i/>
          <w:szCs w:val="24"/>
          <w:lang w:eastAsia="fr-FR"/>
        </w:rPr>
        <w:t>Article 21</w:t>
      </w:r>
      <w:r w:rsidRPr="002B2F0B">
        <w:rPr>
          <w:i/>
          <w:iCs/>
          <w:szCs w:val="24"/>
          <w:lang w:eastAsia="fr-FR"/>
        </w:rPr>
        <w:br/>
      </w:r>
      <w:r w:rsidRPr="002B2F0B">
        <w:rPr>
          <w:i/>
          <w:szCs w:val="24"/>
          <w:lang w:eastAsia="fr-FR"/>
        </w:rPr>
        <w:t>Appel contre la décision de refuser la délivrance de l'</w:t>
      </w:r>
      <w:r w:rsidRPr="002B2F0B">
        <w:rPr>
          <w:b/>
          <w:bCs/>
          <w:i/>
          <w:szCs w:val="24"/>
          <w:lang w:eastAsia="fr-FR"/>
        </w:rPr>
        <w:t>ordonnance de saisie conservatoire</w:t>
      </w:r>
    </w:p>
    <w:p w:rsidR="002022AB" w:rsidRPr="002B2F0B" w:rsidRDefault="002022AB" w:rsidP="00075179">
      <w:pPr>
        <w:spacing w:before="120" w:after="120" w:line="360" w:lineRule="auto"/>
        <w:ind w:left="850" w:hanging="850"/>
        <w:rPr>
          <w:szCs w:val="24"/>
          <w:lang w:eastAsia="fr-FR"/>
        </w:rPr>
      </w:pPr>
      <w:r w:rsidRPr="002B2F0B">
        <w:rPr>
          <w:szCs w:val="24"/>
          <w:lang w:eastAsia="fr-FR"/>
        </w:rPr>
        <w:t>1.</w:t>
      </w:r>
      <w:r w:rsidRPr="002B2F0B">
        <w:rPr>
          <w:szCs w:val="24"/>
          <w:lang w:eastAsia="fr-FR"/>
        </w:rPr>
        <w:tab/>
        <w:t xml:space="preserve">Le </w:t>
      </w:r>
      <w:r w:rsidRPr="002B2F0B">
        <w:rPr>
          <w:b/>
          <w:bCs/>
          <w:i/>
          <w:iCs/>
          <w:szCs w:val="24"/>
          <w:lang w:eastAsia="fr-FR"/>
        </w:rPr>
        <w:t>créancier a le droit d'</w:t>
      </w:r>
      <w:r w:rsidRPr="002B2F0B">
        <w:rPr>
          <w:szCs w:val="24"/>
          <w:lang w:eastAsia="fr-FR"/>
        </w:rPr>
        <w:t xml:space="preserve">interjeter appel de toute décision de la juridiction rejetant en tout ou en partie </w:t>
      </w:r>
      <w:r w:rsidRPr="002B2F0B">
        <w:rPr>
          <w:b/>
          <w:bCs/>
          <w:i/>
          <w:iCs/>
          <w:szCs w:val="24"/>
          <w:lang w:eastAsia="fr-FR"/>
        </w:rPr>
        <w:t xml:space="preserve">sa </w:t>
      </w:r>
      <w:r w:rsidRPr="002B2F0B">
        <w:rPr>
          <w:szCs w:val="24"/>
          <w:lang w:eastAsia="fr-FR"/>
        </w:rPr>
        <w:t>demande d'</w:t>
      </w:r>
      <w:r w:rsidRPr="002B2F0B">
        <w:rPr>
          <w:b/>
          <w:bCs/>
          <w:i/>
          <w:iCs/>
          <w:szCs w:val="24"/>
          <w:lang w:eastAsia="fr-FR"/>
        </w:rPr>
        <w:t>ordonnance de saisie conservatoire</w:t>
      </w:r>
      <w:r w:rsidRPr="002B2F0B">
        <w:rPr>
          <w:szCs w:val="24"/>
          <w:lang w:eastAsia="fr-FR"/>
        </w:rPr>
        <w:t xml:space="preserve">. </w:t>
      </w:r>
    </w:p>
    <w:p w:rsidR="002022AB" w:rsidRPr="002B2F0B" w:rsidRDefault="002022AB" w:rsidP="00075179">
      <w:pPr>
        <w:spacing w:before="120" w:after="120" w:line="360" w:lineRule="auto"/>
        <w:ind w:left="850" w:hanging="850"/>
        <w:rPr>
          <w:szCs w:val="24"/>
          <w:lang w:eastAsia="fr-FR"/>
        </w:rPr>
      </w:pPr>
      <w:r w:rsidRPr="002B2F0B">
        <w:rPr>
          <w:szCs w:val="24"/>
          <w:lang w:eastAsia="fr-FR"/>
        </w:rPr>
        <w:t>2.</w:t>
      </w:r>
      <w:r w:rsidRPr="002B2F0B">
        <w:rPr>
          <w:szCs w:val="24"/>
          <w:lang w:eastAsia="fr-FR"/>
        </w:rPr>
        <w:tab/>
        <w:t xml:space="preserve">Un </w:t>
      </w:r>
      <w:r w:rsidRPr="002B2F0B">
        <w:rPr>
          <w:b/>
          <w:bCs/>
          <w:i/>
          <w:iCs/>
          <w:szCs w:val="24"/>
          <w:lang w:eastAsia="fr-FR"/>
        </w:rPr>
        <w:t xml:space="preserve">tel </w:t>
      </w:r>
      <w:r w:rsidRPr="002B2F0B">
        <w:rPr>
          <w:szCs w:val="24"/>
          <w:lang w:eastAsia="fr-FR"/>
        </w:rPr>
        <w:t xml:space="preserve">appel </w:t>
      </w:r>
      <w:r w:rsidRPr="002B2F0B">
        <w:rPr>
          <w:b/>
          <w:bCs/>
          <w:i/>
          <w:iCs/>
          <w:szCs w:val="24"/>
          <w:lang w:eastAsia="fr-FR"/>
        </w:rPr>
        <w:t>est</w:t>
      </w:r>
      <w:r w:rsidRPr="002B2F0B">
        <w:rPr>
          <w:szCs w:val="24"/>
          <w:lang w:eastAsia="fr-FR"/>
        </w:rPr>
        <w:t xml:space="preserve"> interjeté dans un délai de trente jours à compter de </w:t>
      </w:r>
      <w:r w:rsidRPr="002B2F0B">
        <w:rPr>
          <w:b/>
          <w:bCs/>
          <w:i/>
          <w:iCs/>
          <w:szCs w:val="24"/>
          <w:lang w:eastAsia="fr-FR"/>
        </w:rPr>
        <w:t>la date à laquelle la décision visée au paragraphe 1 a été portée à la connaissance du créancier. Il est interjeté auprès de la juridiction que l'État membre concerné a indiquée à la Commission en vertu de l'article 50, paragraphe 1, point d)</w:t>
      </w:r>
      <w:r w:rsidRPr="002B2F0B">
        <w:rPr>
          <w:szCs w:val="24"/>
          <w:lang w:eastAsia="fr-FR"/>
        </w:rPr>
        <w:t>.</w:t>
      </w:r>
    </w:p>
    <w:p w:rsidR="002022AB" w:rsidRPr="002B2F0B" w:rsidRDefault="002022AB" w:rsidP="00075179">
      <w:pPr>
        <w:spacing w:before="120" w:after="120" w:line="360" w:lineRule="auto"/>
        <w:ind w:left="850" w:hanging="850"/>
        <w:rPr>
          <w:b/>
          <w:bCs/>
          <w:i/>
          <w:iCs/>
          <w:szCs w:val="24"/>
          <w:lang w:eastAsia="fr-FR"/>
        </w:rPr>
      </w:pPr>
      <w:r w:rsidRPr="002B2F0B">
        <w:rPr>
          <w:szCs w:val="24"/>
          <w:lang w:eastAsia="fr-FR"/>
        </w:rPr>
        <w:br w:type="page"/>
      </w:r>
      <w:r w:rsidRPr="002B2F0B">
        <w:rPr>
          <w:b/>
          <w:bCs/>
          <w:i/>
          <w:iCs/>
          <w:szCs w:val="24"/>
          <w:lang w:eastAsia="fr-FR"/>
        </w:rPr>
        <w:t>3.</w:t>
      </w:r>
      <w:r w:rsidRPr="002B2F0B">
        <w:rPr>
          <w:b/>
          <w:bCs/>
          <w:i/>
          <w:iCs/>
          <w:szCs w:val="24"/>
          <w:lang w:eastAsia="fr-FR"/>
        </w:rPr>
        <w:tab/>
        <w:t>Lorsque la demande d'ordonnance de saisie conservatoire a été rejetée en totalité, l'appel est régi par la procédure non contradictoire prévue à l'article 11.</w:t>
      </w:r>
    </w:p>
    <w:p w:rsidR="002022AB" w:rsidRPr="002B2F0B" w:rsidRDefault="002022AB" w:rsidP="00075179">
      <w:pPr>
        <w:spacing w:before="120" w:after="120" w:line="360" w:lineRule="auto"/>
        <w:ind w:left="850" w:hanging="850"/>
        <w:rPr>
          <w:b/>
          <w:bCs/>
          <w:i/>
          <w:iCs/>
          <w:szCs w:val="24"/>
          <w:lang w:eastAsia="fr-FR"/>
        </w:rPr>
      </w:pPr>
    </w:p>
    <w:p w:rsidR="002022AB" w:rsidRPr="002B2F0B" w:rsidRDefault="002022AB" w:rsidP="00075179">
      <w:pPr>
        <w:keepNext/>
        <w:spacing w:before="120" w:after="360" w:line="360" w:lineRule="auto"/>
        <w:jc w:val="center"/>
        <w:rPr>
          <w:b/>
          <w:bCs/>
          <w:sz w:val="32"/>
          <w:szCs w:val="32"/>
          <w:lang w:eastAsia="fr-FR"/>
        </w:rPr>
      </w:pPr>
      <w:r w:rsidRPr="002B2F0B">
        <w:rPr>
          <w:b/>
          <w:bCs/>
          <w:sz w:val="32"/>
          <w:szCs w:val="32"/>
          <w:lang w:eastAsia="fr-FR"/>
        </w:rPr>
        <w:t xml:space="preserve">Chapitre 3 </w:t>
      </w:r>
      <w:r w:rsidRPr="002B2F0B">
        <w:rPr>
          <w:b/>
          <w:bCs/>
          <w:sz w:val="32"/>
          <w:szCs w:val="32"/>
          <w:lang w:eastAsia="fr-FR"/>
        </w:rPr>
        <w:br/>
        <w:t>Reconnaissance, force exécutoire et exécution de l'</w:t>
      </w:r>
      <w:r w:rsidRPr="002B2F0B">
        <w:rPr>
          <w:b/>
          <w:bCs/>
          <w:i/>
          <w:iCs/>
          <w:sz w:val="32"/>
          <w:szCs w:val="32"/>
          <w:lang w:eastAsia="fr-FR"/>
        </w:rPr>
        <w:t>ordonnance de saisie conservatoire</w:t>
      </w:r>
    </w:p>
    <w:p w:rsidR="002022AB" w:rsidRPr="002B2F0B" w:rsidRDefault="002022AB" w:rsidP="00075179">
      <w:pPr>
        <w:keepNext/>
        <w:spacing w:before="360" w:after="120" w:line="360" w:lineRule="auto"/>
        <w:jc w:val="center"/>
        <w:rPr>
          <w:i/>
          <w:iCs/>
          <w:szCs w:val="24"/>
          <w:lang w:eastAsia="fr-FR"/>
        </w:rPr>
      </w:pPr>
      <w:r w:rsidRPr="002B2F0B">
        <w:rPr>
          <w:i/>
          <w:iCs/>
          <w:szCs w:val="24"/>
          <w:lang w:eastAsia="fr-FR"/>
        </w:rPr>
        <w:t xml:space="preserve">Article 22 </w:t>
      </w:r>
      <w:r w:rsidRPr="002B2F0B">
        <w:rPr>
          <w:i/>
          <w:iCs/>
          <w:szCs w:val="24"/>
          <w:lang w:eastAsia="fr-FR"/>
        </w:rPr>
        <w:br/>
      </w:r>
      <w:r w:rsidRPr="002B2F0B">
        <w:rPr>
          <w:b/>
          <w:bCs/>
          <w:i/>
          <w:iCs/>
          <w:szCs w:val="24"/>
          <w:lang w:eastAsia="fr-FR"/>
        </w:rPr>
        <w:t>Reconnaissance et force exécutoire</w:t>
      </w:r>
    </w:p>
    <w:p w:rsidR="002022AB" w:rsidRPr="002B2F0B" w:rsidRDefault="002022AB" w:rsidP="00075179">
      <w:pPr>
        <w:widowControl w:val="0"/>
        <w:spacing w:line="360" w:lineRule="auto"/>
        <w:rPr>
          <w:szCs w:val="24"/>
          <w:lang w:eastAsia="fr-FR"/>
        </w:rPr>
      </w:pPr>
      <w:r w:rsidRPr="002B2F0B">
        <w:rPr>
          <w:szCs w:val="24"/>
          <w:lang w:eastAsia="fr-FR"/>
        </w:rPr>
        <w:t xml:space="preserve">Une </w:t>
      </w:r>
      <w:r w:rsidRPr="002B2F0B">
        <w:rPr>
          <w:b/>
          <w:bCs/>
          <w:i/>
          <w:iCs/>
          <w:szCs w:val="24"/>
          <w:lang w:eastAsia="fr-FR"/>
        </w:rPr>
        <w:t>ordonnance de saisie conservatoire</w:t>
      </w:r>
      <w:r w:rsidRPr="002B2F0B">
        <w:rPr>
          <w:szCs w:val="24"/>
          <w:lang w:eastAsia="fr-FR"/>
        </w:rPr>
        <w:t xml:space="preserve"> délivrée dans un État membre conformément </w:t>
      </w:r>
      <w:r w:rsidRPr="002B2F0B">
        <w:rPr>
          <w:b/>
          <w:bCs/>
          <w:i/>
          <w:iCs/>
          <w:szCs w:val="24"/>
          <w:lang w:eastAsia="fr-FR"/>
        </w:rPr>
        <w:t>au présent règlement</w:t>
      </w:r>
      <w:r w:rsidRPr="002B2F0B">
        <w:rPr>
          <w:szCs w:val="24"/>
          <w:lang w:eastAsia="fr-FR"/>
        </w:rPr>
        <w:t xml:space="preserve"> est reconnue dans </w:t>
      </w:r>
      <w:r w:rsidRPr="002B2F0B">
        <w:rPr>
          <w:b/>
          <w:bCs/>
          <w:i/>
          <w:iCs/>
          <w:szCs w:val="24"/>
          <w:lang w:eastAsia="fr-FR"/>
        </w:rPr>
        <w:t>les</w:t>
      </w:r>
      <w:r w:rsidRPr="002B2F0B">
        <w:rPr>
          <w:szCs w:val="24"/>
          <w:lang w:eastAsia="fr-FR"/>
        </w:rPr>
        <w:t xml:space="preserve"> autres États membres </w:t>
      </w:r>
      <w:r w:rsidRPr="002B2F0B">
        <w:rPr>
          <w:b/>
          <w:bCs/>
          <w:i/>
          <w:iCs/>
          <w:szCs w:val="24"/>
          <w:lang w:eastAsia="fr-FR"/>
        </w:rPr>
        <w:t>sans qu'une</w:t>
      </w:r>
      <w:r w:rsidRPr="002B2F0B">
        <w:rPr>
          <w:szCs w:val="24"/>
          <w:lang w:eastAsia="fr-FR"/>
        </w:rPr>
        <w:t xml:space="preserve"> </w:t>
      </w:r>
      <w:r w:rsidRPr="002B2F0B">
        <w:rPr>
          <w:b/>
          <w:bCs/>
          <w:i/>
          <w:iCs/>
          <w:szCs w:val="24"/>
          <w:lang w:eastAsia="fr-FR"/>
        </w:rPr>
        <w:t>procédure spéciale soit requise</w:t>
      </w:r>
      <w:r w:rsidRPr="002B2F0B">
        <w:rPr>
          <w:szCs w:val="24"/>
          <w:lang w:eastAsia="fr-FR"/>
        </w:rPr>
        <w:t xml:space="preserve"> </w:t>
      </w:r>
      <w:r w:rsidRPr="002B2F0B">
        <w:rPr>
          <w:b/>
          <w:bCs/>
          <w:i/>
          <w:iCs/>
          <w:szCs w:val="24"/>
          <w:lang w:eastAsia="fr-FR"/>
        </w:rPr>
        <w:t xml:space="preserve">et est exécutoire dans les autres États membres </w:t>
      </w:r>
      <w:r w:rsidRPr="002B2F0B">
        <w:rPr>
          <w:szCs w:val="24"/>
          <w:lang w:eastAsia="fr-FR"/>
        </w:rPr>
        <w:t xml:space="preserve">sans qu'une déclaration constatant sa force exécutoire soit nécessaire ▌. </w:t>
      </w:r>
    </w:p>
    <w:p w:rsidR="002022AB" w:rsidRPr="002B2F0B" w:rsidRDefault="002022AB" w:rsidP="00075179">
      <w:pPr>
        <w:widowControl w:val="0"/>
        <w:spacing w:before="120" w:after="120" w:line="360" w:lineRule="auto"/>
        <w:rPr>
          <w:szCs w:val="24"/>
          <w:lang w:eastAsia="fr-FR"/>
        </w:rPr>
      </w:pPr>
      <w:r w:rsidRPr="002B2F0B">
        <w:rPr>
          <w:szCs w:val="24"/>
          <w:lang w:eastAsia="fr-FR"/>
        </w:rPr>
        <w:t>▌</w:t>
      </w:r>
    </w:p>
    <w:p w:rsidR="002022AB" w:rsidRPr="002B2F0B" w:rsidRDefault="002022AB" w:rsidP="00075179">
      <w:pPr>
        <w:keepNext/>
        <w:spacing w:before="360" w:after="120" w:line="360" w:lineRule="auto"/>
        <w:jc w:val="center"/>
        <w:rPr>
          <w:b/>
          <w:bCs/>
          <w:i/>
          <w:szCs w:val="24"/>
          <w:lang w:eastAsia="fr-FR"/>
        </w:rPr>
      </w:pPr>
      <w:r w:rsidRPr="002B2F0B">
        <w:rPr>
          <w:b/>
          <w:bCs/>
          <w:i/>
          <w:szCs w:val="24"/>
          <w:lang w:eastAsia="fr-FR"/>
        </w:rPr>
        <w:t xml:space="preserve">Article 23 </w:t>
      </w:r>
      <w:r w:rsidRPr="002B2F0B">
        <w:rPr>
          <w:b/>
          <w:bCs/>
          <w:i/>
          <w:szCs w:val="24"/>
          <w:lang w:eastAsia="fr-FR"/>
        </w:rPr>
        <w:br/>
        <w:t xml:space="preserve">Exécution de l'ordonnance de saisie conservatoire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1.</w:t>
      </w:r>
      <w:r w:rsidRPr="002B2F0B">
        <w:rPr>
          <w:b/>
          <w:bCs/>
          <w:i/>
          <w:szCs w:val="24"/>
          <w:lang w:eastAsia="fr-FR"/>
        </w:rPr>
        <w:tab/>
        <w:t xml:space="preserve">Sous réserve des dispositions du présent chapitre, l'ordonnance de saisie conservatoire est exécutée conformément aux procédures applicables à l'exécution des ordonnances équivalentes sur le plan national dans l'État membre d'exécution. </w:t>
      </w:r>
    </w:p>
    <w:p w:rsidR="002022AB" w:rsidRPr="002B2F0B" w:rsidRDefault="002022AB" w:rsidP="00075179">
      <w:pPr>
        <w:spacing w:before="120" w:after="120" w:line="360" w:lineRule="auto"/>
        <w:ind w:left="851" w:hanging="851"/>
        <w:rPr>
          <w:b/>
          <w:bCs/>
          <w:i/>
          <w:szCs w:val="24"/>
          <w:lang w:eastAsia="fr-FR"/>
        </w:rPr>
      </w:pPr>
    </w:p>
    <w:p w:rsidR="002022AB" w:rsidRPr="002B2F0B" w:rsidRDefault="002022AB" w:rsidP="00075179">
      <w:pPr>
        <w:widowControl w:val="0"/>
        <w:spacing w:before="120" w:after="120" w:line="360" w:lineRule="auto"/>
        <w:ind w:left="851" w:hanging="851"/>
        <w:rPr>
          <w:b/>
          <w:bCs/>
          <w:i/>
          <w:szCs w:val="24"/>
          <w:lang w:eastAsia="fr-FR"/>
        </w:rPr>
        <w:sectPr w:rsidR="002022AB" w:rsidRPr="002B2F0B">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06" w:h="16838"/>
          <w:pgMar w:top="1134" w:right="1134" w:bottom="1134" w:left="1134" w:header="567" w:footer="567" w:gutter="0"/>
          <w:cols w:space="708"/>
          <w:rtlGutter/>
          <w:docGrid w:linePitch="360"/>
        </w:sectPr>
      </w:pPr>
    </w:p>
    <w:p w:rsidR="002022AB" w:rsidRPr="002B2F0B" w:rsidRDefault="002022AB" w:rsidP="00075179">
      <w:pPr>
        <w:widowControl w:val="0"/>
        <w:spacing w:before="120" w:after="120" w:line="360" w:lineRule="auto"/>
        <w:ind w:left="851" w:hanging="851"/>
        <w:rPr>
          <w:b/>
          <w:bCs/>
          <w:i/>
          <w:szCs w:val="24"/>
          <w:lang w:eastAsia="fr-FR"/>
        </w:rPr>
      </w:pPr>
      <w:r w:rsidRPr="002B2F0B">
        <w:rPr>
          <w:b/>
          <w:bCs/>
          <w:i/>
          <w:szCs w:val="24"/>
          <w:lang w:eastAsia="fr-FR"/>
        </w:rPr>
        <w:t>2.</w:t>
      </w:r>
      <w:r w:rsidRPr="002B2F0B">
        <w:rPr>
          <w:b/>
          <w:bCs/>
          <w:i/>
          <w:szCs w:val="24"/>
          <w:lang w:eastAsia="fr-FR"/>
        </w:rPr>
        <w:tab/>
        <w:t>Toutes les autorités participant à l'exécution de l'ordonnance agissent sans tarder.</w:t>
      </w:r>
    </w:p>
    <w:p w:rsidR="002022AB" w:rsidRPr="002B2F0B" w:rsidRDefault="002022AB" w:rsidP="00075179">
      <w:pPr>
        <w:widowControl w:val="0"/>
        <w:spacing w:before="120" w:after="120" w:line="360" w:lineRule="auto"/>
        <w:ind w:left="851" w:hanging="851"/>
        <w:rPr>
          <w:b/>
          <w:bCs/>
          <w:i/>
          <w:szCs w:val="24"/>
          <w:lang w:eastAsia="fr-FR"/>
        </w:rPr>
      </w:pPr>
      <w:r w:rsidRPr="002B2F0B">
        <w:rPr>
          <w:b/>
          <w:bCs/>
          <w:i/>
          <w:szCs w:val="24"/>
          <w:lang w:eastAsia="fr-FR"/>
        </w:rPr>
        <w:t>3.</w:t>
      </w:r>
      <w:r w:rsidRPr="002B2F0B">
        <w:rPr>
          <w:b/>
          <w:bCs/>
          <w:i/>
          <w:szCs w:val="24"/>
          <w:lang w:eastAsia="fr-FR"/>
        </w:rPr>
        <w:tab/>
        <w:t xml:space="preserve">Lorsque l'ordonnance de saisie conservatoire a été délivrée dans un État membre autre que l'État membre d'exécution, la partie A de l'ordonnance telle qu'elle est indiquée à l'article 19, paragraphe 2, et un formulaire type vierge pour la déclaration en vertu de l'article 25 sont, aux fins du paragraphe 1 du présent article, transmis à l'autorité compétente de l'État membre d'exécution conformément à l'article 29.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ab/>
        <w:t xml:space="preserve">La transmission est effectuée par la juridiction qui a délivré l’ordonnance ou le créancier, selon celui qui, en vertu du droit de l'État membre d'origine, est chargé d'engager la procédure d'exécution.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4.</w:t>
      </w:r>
      <w:r w:rsidRPr="002B2F0B">
        <w:rPr>
          <w:b/>
          <w:bCs/>
          <w:i/>
          <w:szCs w:val="24"/>
          <w:lang w:eastAsia="fr-FR"/>
        </w:rPr>
        <w:tab/>
        <w:t xml:space="preserve">L'ordonnance est accompagnée, si nécessaire, d’une traduction ou d’une translittération dans la langue officielle de l'État membre d'exécution ou, s'il existe plusieurs langues officielles dans cet État membre, la langue officielle ou l'une des langues officielles du lieu où l'ordonnance doit être mise en œuvre. Cette traduction ou translittération est fournie par la juridiction qui a délivré l’ordonnance, laquelle fait usage de la version linguistique appropriée du formulaire type visé à l'article 19.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5.</w:t>
      </w:r>
      <w:r w:rsidRPr="002B2F0B">
        <w:rPr>
          <w:b/>
          <w:bCs/>
          <w:i/>
          <w:szCs w:val="24"/>
          <w:lang w:eastAsia="fr-FR"/>
        </w:rPr>
        <w:tab/>
        <w:t xml:space="preserve">L'autorité compétente de l'État membre d'exécution prend les mesures nécessaires pour faire exécuter l'ordonnance conformément à son droit national. </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6.</w:t>
      </w:r>
      <w:r w:rsidRPr="002B2F0B">
        <w:rPr>
          <w:b/>
          <w:bCs/>
          <w:i/>
          <w:szCs w:val="24"/>
          <w:lang w:eastAsia="fr-FR"/>
        </w:rPr>
        <w:tab/>
        <w:t>Lorsque l'ordonnance de saisie conservatoire concerne plusieurs banques établies dans le même État membre ou dans des États membres différents, un formulaire distinct établi pour chaque banque, comme indiqué à l'article 19, paragraphes 2 et 4, est transmis à l'autorité compétente de l'État membre d'exécution concerné.</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w:t>
      </w:r>
    </w:p>
    <w:p w:rsidR="002022AB" w:rsidRPr="002B2F0B" w:rsidRDefault="002022AB" w:rsidP="00075179">
      <w:pPr>
        <w:keepNext/>
        <w:spacing w:before="360" w:after="120" w:line="360" w:lineRule="auto"/>
        <w:jc w:val="center"/>
        <w:rPr>
          <w:i/>
          <w:iCs/>
          <w:szCs w:val="24"/>
          <w:lang w:eastAsia="fr-FR"/>
        </w:rPr>
      </w:pPr>
      <w:r w:rsidRPr="002B2F0B">
        <w:rPr>
          <w:i/>
          <w:szCs w:val="24"/>
          <w:lang w:eastAsia="fr-FR"/>
        </w:rPr>
        <w:t xml:space="preserve">Article 24 </w:t>
      </w:r>
      <w:r w:rsidRPr="002B2F0B">
        <w:rPr>
          <w:i/>
          <w:iCs/>
          <w:szCs w:val="24"/>
          <w:lang w:eastAsia="fr-FR"/>
        </w:rPr>
        <w:br/>
      </w:r>
      <w:r w:rsidRPr="002B2F0B">
        <w:rPr>
          <w:i/>
          <w:szCs w:val="24"/>
          <w:lang w:eastAsia="fr-FR"/>
        </w:rPr>
        <w:t>Mise en œuvre de l'</w:t>
      </w:r>
      <w:r w:rsidRPr="002B2F0B">
        <w:rPr>
          <w:b/>
          <w:bCs/>
          <w:i/>
          <w:szCs w:val="24"/>
          <w:lang w:eastAsia="fr-FR"/>
        </w:rPr>
        <w:t>ordonnance de saisie conservatoire</w:t>
      </w:r>
      <w:r w:rsidRPr="002B2F0B">
        <w:rPr>
          <w:i/>
          <w:szCs w:val="24"/>
          <w:lang w:eastAsia="fr-FR"/>
        </w:rPr>
        <w:t xml:space="preserve"> </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t xml:space="preserve">Une banque à laquelle une </w:t>
      </w:r>
      <w:r w:rsidRPr="002B2F0B">
        <w:rPr>
          <w:b/>
          <w:bCs/>
          <w:i/>
          <w:iCs/>
          <w:szCs w:val="24"/>
          <w:lang w:eastAsia="fr-FR"/>
        </w:rPr>
        <w:t>ordonnance de saisie conservatoire</w:t>
      </w:r>
      <w:r w:rsidRPr="002B2F0B">
        <w:rPr>
          <w:szCs w:val="24"/>
          <w:lang w:eastAsia="fr-FR"/>
        </w:rPr>
        <w:t xml:space="preserve"> </w:t>
      </w:r>
      <w:r w:rsidRPr="002B2F0B">
        <w:rPr>
          <w:b/>
          <w:bCs/>
          <w:i/>
          <w:iCs/>
          <w:szCs w:val="24"/>
          <w:lang w:eastAsia="fr-FR"/>
        </w:rPr>
        <w:t>est adressée</w:t>
      </w:r>
      <w:r w:rsidRPr="002B2F0B">
        <w:rPr>
          <w:szCs w:val="24"/>
          <w:lang w:eastAsia="fr-FR"/>
        </w:rPr>
        <w:t xml:space="preserve"> la met en œuvre </w:t>
      </w:r>
      <w:r w:rsidRPr="002B2F0B">
        <w:rPr>
          <w:b/>
          <w:bCs/>
          <w:i/>
          <w:iCs/>
          <w:szCs w:val="24"/>
          <w:lang w:eastAsia="fr-FR"/>
        </w:rPr>
        <w:t>sans tarder</w:t>
      </w:r>
      <w:r w:rsidRPr="002B2F0B">
        <w:rPr>
          <w:szCs w:val="24"/>
          <w:lang w:eastAsia="fr-FR"/>
        </w:rPr>
        <w:t xml:space="preserve"> </w:t>
      </w:r>
      <w:r w:rsidRPr="002B2F0B">
        <w:rPr>
          <w:b/>
          <w:bCs/>
          <w:i/>
          <w:iCs/>
          <w:szCs w:val="24"/>
          <w:lang w:eastAsia="fr-FR"/>
        </w:rPr>
        <w:t>après réception de l'ordonnance ou, lorsque le droit de l'État membre d'exécution le prévoit, d'une instruction correspondante de mise en œuvre de l'ordonnance</w:t>
      </w:r>
      <w:r w:rsidRPr="002B2F0B">
        <w:rPr>
          <w:szCs w:val="24"/>
          <w:lang w:eastAsia="fr-FR"/>
        </w:rPr>
        <w:t>.</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2.</w:t>
      </w:r>
      <w:r w:rsidRPr="002B2F0B">
        <w:rPr>
          <w:b/>
          <w:bCs/>
          <w:i/>
          <w:iCs/>
          <w:szCs w:val="24"/>
          <w:lang w:eastAsia="fr-FR"/>
        </w:rPr>
        <w:tab/>
        <w:t>Aux fins de la mise en œuvre de l'ordonnance de saisie conservatoire, la banque, sous réserve des dispositions de l'article 31, saisit à titre conservatoire le montant précisé dans l'ordonnance:</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a)</w:t>
      </w:r>
      <w:r w:rsidRPr="002B2F0B">
        <w:rPr>
          <w:b/>
          <w:bCs/>
          <w:i/>
          <w:iCs/>
          <w:szCs w:val="24"/>
          <w:lang w:eastAsia="fr-FR"/>
        </w:rPr>
        <w:tab/>
        <w:t xml:space="preserve">soit en s'assurant que ce montant ne fasse l'objet d'aucun transfert ni retrait à partir du ou des comptes qui sont indiqués dans l'ordonnance ou identifiés en vertu du au paragraphe 4; </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b)</w:t>
      </w:r>
      <w:r w:rsidRPr="002B2F0B">
        <w:rPr>
          <w:b/>
          <w:bCs/>
          <w:i/>
          <w:iCs/>
          <w:szCs w:val="24"/>
          <w:lang w:eastAsia="fr-FR"/>
        </w:rPr>
        <w:tab/>
        <w:t>soit, lorsque le droit national le prévoit, en transférant ce montant vers un compte prévu aux fins de la saisie à titre conservatoire.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1"/>
        <w:rPr>
          <w:b/>
          <w:bCs/>
          <w:i/>
          <w:iCs/>
          <w:szCs w:val="24"/>
          <w:lang w:eastAsia="fr-FR"/>
        </w:rPr>
      </w:pPr>
      <w:r w:rsidRPr="002B2F0B">
        <w:rPr>
          <w:b/>
          <w:bCs/>
          <w:i/>
          <w:iCs/>
          <w:szCs w:val="24"/>
          <w:lang w:eastAsia="fr-FR"/>
        </w:rPr>
        <w:t>Le montant final faisant l'objet de la saisie conservatoire peut dépendre du règlement de transactions déjà pendantes au moment où la banque reçoit l'ordonnance ou une instruction correspondante. Cependant, ces transactions pendantes ne peuvent être prises en compte que si elles font l'objet d'un règlement avant que la banque ne fasse la déclaration en vertu de l'article 25, dans les délais énoncés à l'article 25, paragraphe 1.</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3.</w:t>
      </w:r>
      <w:r w:rsidRPr="002B2F0B">
        <w:rPr>
          <w:b/>
          <w:bCs/>
          <w:i/>
          <w:iCs/>
          <w:szCs w:val="24"/>
          <w:lang w:eastAsia="fr-FR"/>
        </w:rPr>
        <w:tab/>
        <w:t>Nonobstant le paragraphe 2, point a), la banque est autorisée, à la demande du débiteur, à libérer les fonds faisant l’objet de la saisie conservatoire et à les transférer vers le compte du créancier indiqué dans l'ordonnance aux fins du paiement de la créance du créancier si toutes les conditions suivantes sont réunies:</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a)</w:t>
      </w:r>
      <w:r w:rsidRPr="002B2F0B">
        <w:rPr>
          <w:b/>
          <w:bCs/>
          <w:i/>
          <w:iCs/>
          <w:szCs w:val="24"/>
          <w:lang w:eastAsia="fr-FR"/>
        </w:rPr>
        <w:tab/>
        <w:t xml:space="preserve">cette autorisation de la banque est expressément indiquée dans l'ordonnance conformément à l'article 19, paragraphe 2, point j); </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b)</w:t>
      </w:r>
      <w:r w:rsidRPr="002B2F0B">
        <w:rPr>
          <w:b/>
          <w:bCs/>
          <w:i/>
          <w:iCs/>
          <w:szCs w:val="24"/>
          <w:lang w:eastAsia="fr-FR"/>
        </w:rPr>
        <w:tab/>
        <w:t xml:space="preserve">le droit de l'État membre d'exécution autorise cette libération et ce transfert; et </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c)</w:t>
      </w:r>
      <w:r w:rsidRPr="002B2F0B">
        <w:rPr>
          <w:b/>
          <w:bCs/>
          <w:i/>
          <w:iCs/>
          <w:szCs w:val="24"/>
          <w:lang w:eastAsia="fr-FR"/>
        </w:rPr>
        <w:tab/>
        <w:t xml:space="preserve">il n'y a pas de conflit d'ordonnances à l'égard du compte concerné. </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4.</w:t>
      </w:r>
      <w:r w:rsidRPr="002B2F0B">
        <w:rPr>
          <w:b/>
          <w:bCs/>
          <w:i/>
          <w:iCs/>
          <w:szCs w:val="24"/>
          <w:lang w:eastAsia="fr-FR"/>
        </w:rPr>
        <w:tab/>
        <w:t>Lorsque l'ordonnance de saisie conservatoire ne précise pas le numéro ou les numéros du ou des comptes du débiteur mais indique uniquement le nom du débiteur ainsi que d'autres renseignements le concernant, la banque ou une autre entité responsable de l'exécution de l'ordonnance identifie le ou les comptes détenus par le débiteur auprès de la banque indiquée dans l'ordonnance.</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1"/>
        <w:rPr>
          <w:b/>
          <w:bCs/>
          <w:i/>
          <w:iCs/>
          <w:szCs w:val="24"/>
          <w:lang w:eastAsia="fr-FR"/>
        </w:rPr>
      </w:pPr>
      <w:r w:rsidRPr="002B2F0B">
        <w:rPr>
          <w:b/>
          <w:bCs/>
          <w:i/>
          <w:iCs/>
          <w:szCs w:val="24"/>
          <w:lang w:eastAsia="fr-FR"/>
        </w:rPr>
        <w:t xml:space="preserve">Si, sur la base des informations fournies dans l'ordonnance, il s'avère impossible pour la banque ou une autre entité d'identifier avec certitude un compte détenu par le débiteur, la banque: </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a)</w:t>
      </w:r>
      <w:r w:rsidRPr="002B2F0B">
        <w:rPr>
          <w:b/>
          <w:bCs/>
          <w:i/>
          <w:iCs/>
          <w:szCs w:val="24"/>
          <w:lang w:eastAsia="fr-FR"/>
        </w:rPr>
        <w:tab/>
        <w:t xml:space="preserve">lorsque, conformément à l'article 19, paragraphe 2, point f), il est indiqué dans l'ordonnance que le ou les numéros du ou des comptes devant faire l'objet de la saisie conservatoire ont été obtenus au moyen d'une demande en vertu de l'article 14, obtient ce ou ces numéros auprès de l'autorité chargée de l'obtention d'informations de l'État membre d'exécution; et </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b)</w:t>
      </w:r>
      <w:r w:rsidRPr="002B2F0B">
        <w:rPr>
          <w:b/>
          <w:bCs/>
          <w:i/>
          <w:iCs/>
          <w:szCs w:val="24"/>
          <w:lang w:eastAsia="fr-FR"/>
        </w:rPr>
        <w:tab/>
        <w:t>dans tous les autres cas, ne met pas en œuvre l'ordonnance.</w:t>
      </w:r>
    </w:p>
    <w:p w:rsidR="002022AB" w:rsidRPr="002B2F0B" w:rsidRDefault="002022AB" w:rsidP="00075179">
      <w:pPr>
        <w:tabs>
          <w:tab w:val="left" w:pos="1418"/>
        </w:tabs>
        <w:spacing w:before="120" w:after="120" w:line="360" w:lineRule="auto"/>
        <w:ind w:left="851" w:hanging="851"/>
        <w:rPr>
          <w:b/>
          <w:bCs/>
          <w:i/>
          <w:iCs/>
          <w:szCs w:val="24"/>
          <w:lang w:eastAsia="fr-FR"/>
        </w:rPr>
      </w:pPr>
      <w:r w:rsidRPr="002B2F0B">
        <w:rPr>
          <w:b/>
          <w:bCs/>
          <w:i/>
          <w:iCs/>
          <w:szCs w:val="24"/>
          <w:lang w:eastAsia="fr-FR"/>
        </w:rPr>
        <w:t>5.</w:t>
      </w:r>
      <w:r w:rsidRPr="002B2F0B">
        <w:rPr>
          <w:b/>
          <w:bCs/>
          <w:i/>
          <w:iCs/>
          <w:szCs w:val="24"/>
          <w:lang w:eastAsia="fr-FR"/>
        </w:rPr>
        <w:tab/>
        <w:t>Les fonds détenus sur le ou les comptes visés au paragraphe 2, point a), qui excèdent le montant précisé dans l'ordonnance de saisie conservatoire, ne sont pas affectés par la mise en œuvre de l'ordonnance.</w:t>
      </w:r>
    </w:p>
    <w:p w:rsidR="002022AB" w:rsidRPr="002B2F0B" w:rsidRDefault="002022AB" w:rsidP="00075179">
      <w:pPr>
        <w:tabs>
          <w:tab w:val="left" w:pos="1418"/>
        </w:tabs>
        <w:spacing w:before="120" w:after="120" w:line="360" w:lineRule="auto"/>
        <w:ind w:left="851" w:hanging="851"/>
        <w:rPr>
          <w:b/>
          <w:bCs/>
          <w:i/>
          <w:iCs/>
          <w:szCs w:val="24"/>
          <w:lang w:eastAsia="fr-FR"/>
        </w:rPr>
      </w:pPr>
      <w:r w:rsidRPr="002B2F0B">
        <w:rPr>
          <w:b/>
          <w:bCs/>
          <w:i/>
          <w:iCs/>
          <w:szCs w:val="24"/>
          <w:lang w:eastAsia="fr-FR"/>
        </w:rPr>
        <w:t>6.</w:t>
      </w:r>
      <w:r w:rsidRPr="002B2F0B">
        <w:rPr>
          <w:b/>
          <w:bCs/>
          <w:i/>
          <w:iCs/>
          <w:szCs w:val="24"/>
          <w:lang w:eastAsia="fr-FR"/>
        </w:rPr>
        <w:tab/>
        <w:t>Si, au moment de la mise en œuvre de l'ordonnance de saisie conservatoire, les fonds détenus sur le ou les comptes visés au paragraphe 2, point a), sont insuffisants pour saisir à titre conservatoire la totalité du montant précisé dans l'ordonnance, celle</w:t>
      </w:r>
      <w:r w:rsidRPr="002B2F0B">
        <w:rPr>
          <w:b/>
          <w:bCs/>
          <w:i/>
          <w:iCs/>
          <w:szCs w:val="24"/>
          <w:lang w:eastAsia="fr-FR"/>
        </w:rPr>
        <w:noBreakHyphen/>
        <w:t xml:space="preserve">ci n'est mise en œuvre qu'à concurrence du montant disponible sur le ou les comptes. </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 xml:space="preserve">7. </w:t>
      </w:r>
      <w:r w:rsidRPr="002B2F0B">
        <w:rPr>
          <w:b/>
          <w:bCs/>
          <w:i/>
          <w:iCs/>
          <w:szCs w:val="24"/>
          <w:lang w:eastAsia="fr-FR"/>
        </w:rPr>
        <w:tab/>
        <w:t>Lorsque l'ordonnance de saisie conservatoire porte sur plusieurs comptes détenus par le débiteur auprès d'une même banque et que les fonds détenus sur ces comptes excèdent le montant précisé dans l'ordonnance, l'ordonnance est mise en œuvre selon l'ordre de priorité suivant:</w:t>
      </w:r>
    </w:p>
    <w:p w:rsidR="002022AB" w:rsidRPr="002B2F0B" w:rsidRDefault="002022AB" w:rsidP="00075179">
      <w:pPr>
        <w:spacing w:before="120" w:after="120" w:line="360" w:lineRule="auto"/>
        <w:ind w:left="1418" w:hanging="567"/>
        <w:jc w:val="both"/>
        <w:rPr>
          <w:b/>
          <w:bCs/>
          <w:i/>
          <w:iCs/>
          <w:szCs w:val="24"/>
          <w:lang w:eastAsia="fr-FR"/>
        </w:rPr>
      </w:pPr>
      <w:r w:rsidRPr="002B2F0B">
        <w:rPr>
          <w:b/>
          <w:bCs/>
          <w:i/>
          <w:iCs/>
          <w:szCs w:val="24"/>
          <w:lang w:eastAsia="fr-FR"/>
        </w:rPr>
        <w:t>a)</w:t>
      </w:r>
      <w:r w:rsidRPr="002B2F0B">
        <w:rPr>
          <w:b/>
          <w:bCs/>
          <w:i/>
          <w:iCs/>
          <w:szCs w:val="24"/>
          <w:lang w:eastAsia="fr-FR"/>
        </w:rPr>
        <w:tab/>
        <w:t>les comptes d'épargne ouverts au nom du seul débiteur;</w:t>
      </w:r>
    </w:p>
    <w:p w:rsidR="002022AB" w:rsidRPr="002B2F0B" w:rsidRDefault="002022AB" w:rsidP="00075179">
      <w:pPr>
        <w:spacing w:before="120" w:after="120" w:line="360" w:lineRule="auto"/>
        <w:ind w:left="1418" w:hanging="567"/>
        <w:jc w:val="both"/>
        <w:rPr>
          <w:b/>
          <w:bCs/>
          <w:i/>
          <w:iCs/>
          <w:szCs w:val="24"/>
          <w:lang w:eastAsia="fr-FR"/>
        </w:rPr>
      </w:pPr>
      <w:r w:rsidRPr="002B2F0B">
        <w:rPr>
          <w:b/>
          <w:bCs/>
          <w:i/>
          <w:iCs/>
          <w:szCs w:val="24"/>
          <w:lang w:eastAsia="fr-FR"/>
        </w:rPr>
        <w:t>b)</w:t>
      </w:r>
      <w:r w:rsidRPr="002B2F0B">
        <w:rPr>
          <w:b/>
          <w:bCs/>
          <w:i/>
          <w:iCs/>
          <w:szCs w:val="24"/>
          <w:lang w:eastAsia="fr-FR"/>
        </w:rPr>
        <w:tab/>
        <w:t>les comptes courants ouverts au nom du seul débiteur;</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c)</w:t>
      </w:r>
      <w:r w:rsidRPr="002B2F0B">
        <w:rPr>
          <w:b/>
          <w:bCs/>
          <w:i/>
          <w:iCs/>
          <w:szCs w:val="24"/>
          <w:lang w:eastAsia="fr-FR"/>
        </w:rPr>
        <w:tab/>
        <w:t>les comptes d'épargne ouverts au nom de plusieurs titulaires, sous réserve de l'article 30;</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d)</w:t>
      </w:r>
      <w:r w:rsidRPr="002B2F0B">
        <w:rPr>
          <w:b/>
          <w:bCs/>
          <w:i/>
          <w:iCs/>
          <w:szCs w:val="24"/>
          <w:lang w:eastAsia="fr-FR"/>
        </w:rPr>
        <w:tab/>
        <w:t>les comptes courants ouverts au nom de plusieurs titulaires, sous réserve de l'article 30.</w:t>
      </w:r>
    </w:p>
    <w:p w:rsidR="002022AB" w:rsidRPr="002B2F0B" w:rsidRDefault="002022AB" w:rsidP="00075179">
      <w:pPr>
        <w:spacing w:before="120" w:after="120" w:line="360" w:lineRule="auto"/>
        <w:ind w:left="851" w:hanging="851"/>
        <w:jc w:val="both"/>
        <w:rPr>
          <w:szCs w:val="24"/>
          <w:lang w:eastAsia="fr-FR"/>
        </w:rPr>
      </w:pPr>
      <w:r w:rsidRPr="002B2F0B">
        <w:rPr>
          <w:szCs w:val="24"/>
          <w:lang w:eastAsia="fr-FR"/>
        </w:rPr>
        <w:t>▌</w:t>
      </w:r>
    </w:p>
    <w:p w:rsidR="002022AB" w:rsidRPr="002B2F0B" w:rsidRDefault="002022AB" w:rsidP="00075179">
      <w:pPr>
        <w:spacing w:before="120" w:after="120" w:line="360" w:lineRule="auto"/>
        <w:ind w:left="851" w:hanging="851"/>
        <w:rPr>
          <w:szCs w:val="24"/>
          <w:lang w:eastAsia="fr-FR"/>
        </w:rPr>
      </w:pPr>
      <w:r w:rsidRPr="002B2F0B">
        <w:rPr>
          <w:szCs w:val="24"/>
          <w:lang w:eastAsia="fr-FR"/>
        </w:rPr>
        <w:t>8.</w:t>
      </w:r>
      <w:r w:rsidRPr="002B2F0B">
        <w:rPr>
          <w:szCs w:val="24"/>
          <w:lang w:eastAsia="fr-FR"/>
        </w:rPr>
        <w:tab/>
        <w:t xml:space="preserve">Lorsque la devise dans laquelle sont exprimés les fonds détenus sur </w:t>
      </w:r>
      <w:r w:rsidRPr="002B2F0B">
        <w:rPr>
          <w:b/>
          <w:bCs/>
          <w:i/>
          <w:iCs/>
          <w:szCs w:val="24"/>
          <w:lang w:eastAsia="fr-FR"/>
        </w:rPr>
        <w:t>le ou les comptes visés au paragraphe 2, point a)</w:t>
      </w:r>
      <w:r w:rsidRPr="002B2F0B">
        <w:rPr>
          <w:szCs w:val="24"/>
          <w:lang w:eastAsia="fr-FR"/>
        </w:rPr>
        <w:t xml:space="preserve"> n'est pas la même que celle dans laquelle l'</w:t>
      </w:r>
      <w:r w:rsidRPr="002B2F0B">
        <w:rPr>
          <w:b/>
          <w:bCs/>
          <w:i/>
          <w:iCs/>
          <w:szCs w:val="24"/>
          <w:lang w:eastAsia="fr-FR"/>
        </w:rPr>
        <w:t>ordonnance de saisie conservatoire</w:t>
      </w:r>
      <w:r w:rsidRPr="002B2F0B">
        <w:rPr>
          <w:szCs w:val="24"/>
          <w:lang w:eastAsia="fr-FR"/>
        </w:rPr>
        <w:t xml:space="preserve"> a été délivrée, la banque convertit le montant précisé</w:t>
      </w:r>
      <w:r w:rsidRPr="002B2F0B">
        <w:rPr>
          <w:b/>
          <w:bCs/>
          <w:i/>
          <w:iCs/>
          <w:szCs w:val="24"/>
          <w:lang w:eastAsia="fr-FR"/>
        </w:rPr>
        <w:t xml:space="preserve"> dans l'ordonnance dans la devise dans laquelle sont exprimés les fonds </w:t>
      </w:r>
      <w:r w:rsidRPr="002B2F0B">
        <w:rPr>
          <w:szCs w:val="24"/>
          <w:lang w:eastAsia="fr-FR"/>
        </w:rPr>
        <w:t xml:space="preserve">par référence au taux </w:t>
      </w:r>
      <w:r w:rsidRPr="002B2F0B">
        <w:rPr>
          <w:b/>
          <w:bCs/>
          <w:i/>
          <w:iCs/>
          <w:szCs w:val="24"/>
          <w:lang w:eastAsia="fr-FR"/>
        </w:rPr>
        <w:t xml:space="preserve">de change de référence fixé par la Banque centrale européenne ou au taux de change fixé par la banque centrale de l'État membre d'exécution applicable à la vente de cette devise à la date et à l'heure </w:t>
      </w:r>
      <w:r w:rsidRPr="002B2F0B">
        <w:rPr>
          <w:szCs w:val="24"/>
          <w:lang w:eastAsia="fr-FR"/>
        </w:rPr>
        <w:t>de la mise en œuvre</w:t>
      </w:r>
      <w:r w:rsidRPr="002B2F0B">
        <w:rPr>
          <w:b/>
          <w:bCs/>
          <w:i/>
          <w:iCs/>
          <w:szCs w:val="24"/>
          <w:lang w:eastAsia="fr-FR"/>
        </w:rPr>
        <w:t xml:space="preserve"> de l'ordonnance et saisit à titre conservatoire le montant correspondant dans la devise dans laquelle sont exprimés les fonds</w:t>
      </w:r>
      <w:r w:rsidRPr="002B2F0B">
        <w:rPr>
          <w:szCs w:val="24"/>
          <w:lang w:eastAsia="fr-FR"/>
        </w:rPr>
        <w:t xml:space="preserve">. </w:t>
      </w:r>
    </w:p>
    <w:p w:rsidR="002022AB" w:rsidRPr="002B2F0B" w:rsidRDefault="002022AB" w:rsidP="00075179">
      <w:pPr>
        <w:spacing w:before="120" w:after="120" w:line="360" w:lineRule="auto"/>
        <w:ind w:left="851" w:hanging="851"/>
        <w:jc w:val="both"/>
        <w:rPr>
          <w:i/>
          <w:iCs/>
          <w:szCs w:val="24"/>
          <w:lang w:eastAsia="fr-FR"/>
        </w:rPr>
      </w:pPr>
      <w:r w:rsidRPr="002B2F0B">
        <w:rPr>
          <w:i/>
          <w:iCs/>
          <w:szCs w:val="24"/>
          <w:lang w:eastAsia="fr-FR"/>
        </w:rPr>
        <w:t>▌</w:t>
      </w:r>
    </w:p>
    <w:p w:rsidR="002022AB" w:rsidRPr="002B2F0B" w:rsidRDefault="002022AB" w:rsidP="00075179">
      <w:pPr>
        <w:spacing w:before="120" w:after="120" w:line="360" w:lineRule="auto"/>
        <w:ind w:left="567" w:hanging="567"/>
        <w:jc w:val="center"/>
        <w:rPr>
          <w:i/>
          <w:iCs/>
          <w:szCs w:val="24"/>
          <w:lang w:eastAsia="fr-FR"/>
        </w:rPr>
      </w:pPr>
      <w:r w:rsidRPr="002B2F0B">
        <w:rPr>
          <w:szCs w:val="24"/>
          <w:lang w:eastAsia="fr-FR"/>
        </w:rPr>
        <w:br w:type="page"/>
      </w:r>
      <w:r w:rsidRPr="002B2F0B">
        <w:rPr>
          <w:i/>
          <w:szCs w:val="24"/>
          <w:lang w:eastAsia="fr-FR"/>
        </w:rPr>
        <w:t xml:space="preserve">Article 25 </w:t>
      </w:r>
      <w:r w:rsidRPr="002B2F0B">
        <w:rPr>
          <w:i/>
          <w:iCs/>
          <w:szCs w:val="24"/>
          <w:lang w:eastAsia="fr-FR"/>
        </w:rPr>
        <w:br/>
      </w:r>
      <w:r w:rsidRPr="002B2F0B">
        <w:rPr>
          <w:i/>
          <w:szCs w:val="24"/>
          <w:lang w:eastAsia="fr-FR"/>
        </w:rPr>
        <w:t xml:space="preserve">Déclaration </w:t>
      </w:r>
      <w:r w:rsidRPr="002B2F0B">
        <w:rPr>
          <w:b/>
          <w:bCs/>
          <w:i/>
          <w:szCs w:val="24"/>
          <w:lang w:eastAsia="fr-FR"/>
        </w:rPr>
        <w:t>concernant la saisie des fonds à titre conservatoire</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r>
      <w:r w:rsidRPr="002B2F0B">
        <w:rPr>
          <w:b/>
          <w:bCs/>
          <w:i/>
          <w:iCs/>
          <w:szCs w:val="24"/>
          <w:lang w:eastAsia="fr-FR"/>
        </w:rPr>
        <w:t xml:space="preserve">Au plus tard à la fin du troisième jour ouvrable suivant la mise en œuvre de l'ordonnance de saisie conservatoire, la banque ou une autre entité responsable de l'exécution de l'ordonnance dans l'État membre d'exécution fait une déclaration en utilisant le formulaire de déclaration établi au moyen d'actes d'exécution adoptés en conformité avec la procédure consultative visée à l'article 52, paragraphe 2, en indiquant </w:t>
      </w:r>
      <w:r w:rsidRPr="002B2F0B">
        <w:rPr>
          <w:szCs w:val="24"/>
          <w:lang w:eastAsia="fr-FR"/>
        </w:rPr>
        <w:t xml:space="preserve">si et dans quelle mesure les fonds se trouvant sur le </w:t>
      </w:r>
      <w:r w:rsidRPr="002B2F0B">
        <w:rPr>
          <w:b/>
          <w:bCs/>
          <w:i/>
          <w:iCs/>
          <w:szCs w:val="24"/>
          <w:lang w:eastAsia="fr-FR"/>
        </w:rPr>
        <w:t>ou les comptes du débiteur</w:t>
      </w:r>
      <w:r w:rsidRPr="002B2F0B">
        <w:rPr>
          <w:szCs w:val="24"/>
          <w:lang w:eastAsia="fr-FR"/>
        </w:rPr>
        <w:t xml:space="preserve"> ont fait l'objet d'une saisie conservatoire </w:t>
      </w:r>
      <w:r w:rsidRPr="002B2F0B">
        <w:rPr>
          <w:b/>
          <w:bCs/>
          <w:i/>
          <w:iCs/>
          <w:szCs w:val="24"/>
          <w:lang w:eastAsia="fr-FR"/>
        </w:rPr>
        <w:t>et, dans l'affirmative, la date à laquelle l'ordonnance a été mise en œuvre. Si, dans des cas exceptionnels, la banque ou une autre entité n'est pas en mesure de faire la déclaration dans les trois jours ouvrables, elle fait cette déclaration dès que possible, mais au plus tard à la fin du huitième jour ouvrable suivant la mise en œuvre de l'ordonnance.</w:t>
      </w:r>
    </w:p>
    <w:p w:rsidR="002022AB" w:rsidRPr="002B2F0B" w:rsidRDefault="002022AB" w:rsidP="00075179">
      <w:pPr>
        <w:spacing w:before="120" w:after="120" w:line="360" w:lineRule="auto"/>
        <w:ind w:left="851"/>
        <w:rPr>
          <w:b/>
          <w:bCs/>
          <w:i/>
          <w:iCs/>
          <w:szCs w:val="24"/>
          <w:lang w:eastAsia="fr-FR"/>
        </w:rPr>
      </w:pPr>
      <w:r w:rsidRPr="002B2F0B">
        <w:rPr>
          <w:b/>
          <w:bCs/>
          <w:i/>
          <w:iCs/>
          <w:szCs w:val="24"/>
          <w:lang w:eastAsia="fr-FR"/>
        </w:rPr>
        <w:t>La déclaration est transmise sans tarder, conformément aux paragraphes 2 et 3.</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2.</w:t>
      </w:r>
      <w:r w:rsidRPr="002B2F0B">
        <w:rPr>
          <w:b/>
          <w:bCs/>
          <w:i/>
          <w:iCs/>
          <w:szCs w:val="24"/>
          <w:lang w:eastAsia="fr-FR"/>
        </w:rPr>
        <w:tab/>
        <w:t xml:space="preserve">Si l'ordonnance de saisie conservatoire a été délivrée dans l'État membre d'exécution, la banque ou une autre entité responsable de l'exécution de l'ordonnance transmet la déclaration, conformément à l'article 29, à la juridiction qui a délivré l’ordonnance et, par courrier recommandé avec accusé de réception ou par des moyens électroniques équivalents, au créancier. </w:t>
      </w:r>
    </w:p>
    <w:p w:rsidR="002022AB" w:rsidRPr="002B2F0B" w:rsidRDefault="002022AB" w:rsidP="00075179">
      <w:pPr>
        <w:widowControl w:val="0"/>
        <w:jc w:val="right"/>
        <w:rPr>
          <w:b/>
          <w:bCs/>
          <w:szCs w:val="24"/>
          <w:lang w:eastAsia="fr-FR"/>
        </w:rPr>
      </w:pPr>
      <w:r w:rsidRPr="002B2F0B">
        <w:rPr>
          <w:b/>
          <w:bCs/>
          <w:szCs w:val="24"/>
          <w:lang w:eastAsia="fr-FR"/>
        </w:rPr>
        <w:br w:type="page"/>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3.</w:t>
      </w:r>
      <w:r w:rsidRPr="002B2F0B">
        <w:rPr>
          <w:b/>
          <w:bCs/>
          <w:i/>
          <w:iCs/>
          <w:szCs w:val="24"/>
          <w:lang w:eastAsia="fr-FR"/>
        </w:rPr>
        <w:tab/>
        <w:t xml:space="preserve">Si l'ordonnance de saisie conservatoire a été délivrée dans un État membre autre que l'État membre d'exécution, la déclaration est transmise conformément à l'article 29 à l'autorité compétente de l'État membre d'exécution, à moins qu'elle ait été délivrée par cette même autorité. </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ab/>
        <w:t>Au plus tard à la fin du premier jour ouvrable suivant la réception ou d'émission de la déclaration, cette autorité transmet la déclaration conformément à l'article 29 à la juridiction qui a délivré l’ordonnance et, par courrier recommandé avec accusé de réception ou par des moyens électroniques équivalents, au créancier.</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 xml:space="preserve">4. </w:t>
      </w:r>
      <w:r w:rsidRPr="002B2F0B">
        <w:rPr>
          <w:b/>
          <w:bCs/>
          <w:i/>
          <w:iCs/>
          <w:szCs w:val="24"/>
          <w:lang w:eastAsia="fr-FR"/>
        </w:rPr>
        <w:tab/>
        <w:t>La banque ou une autre entité chargée de l'exécution de l'ordonnance de saisie conservatoire communique au débiteur, à la demande de celui</w:t>
      </w:r>
      <w:r w:rsidRPr="002B2F0B">
        <w:rPr>
          <w:b/>
          <w:bCs/>
          <w:i/>
          <w:iCs/>
          <w:szCs w:val="24"/>
          <w:lang w:eastAsia="fr-FR"/>
        </w:rPr>
        <w:noBreakHyphen/>
        <w:t>ci, les détails de l'ordonnance. La banque ou l'entité peut le faire également en l'absence d'une telle demande.</w:t>
      </w:r>
    </w:p>
    <w:p w:rsidR="002022AB" w:rsidRPr="002B2F0B" w:rsidRDefault="002022AB" w:rsidP="00075179">
      <w:pPr>
        <w:widowControl w:val="0"/>
        <w:spacing w:line="360" w:lineRule="auto"/>
        <w:rPr>
          <w:szCs w:val="24"/>
          <w:lang w:eastAsia="fr-FR"/>
        </w:rPr>
      </w:pPr>
    </w:p>
    <w:p w:rsidR="002022AB" w:rsidRPr="002B2F0B" w:rsidRDefault="002022AB" w:rsidP="00075179">
      <w:pPr>
        <w:widowControl w:val="0"/>
        <w:spacing w:before="120" w:after="120" w:line="360" w:lineRule="auto"/>
        <w:rPr>
          <w:szCs w:val="24"/>
          <w:lang w:eastAsia="fr-FR"/>
        </w:rPr>
      </w:pPr>
      <w:r w:rsidRPr="002B2F0B">
        <w:rPr>
          <w:szCs w:val="24"/>
          <w:lang w:eastAsia="fr-FR"/>
        </w:rPr>
        <w:t>▌</w:t>
      </w:r>
    </w:p>
    <w:p w:rsidR="002022AB" w:rsidRPr="002B2F0B" w:rsidRDefault="002022AB" w:rsidP="00075179">
      <w:pPr>
        <w:widowControl w:val="0"/>
        <w:jc w:val="right"/>
        <w:rPr>
          <w:szCs w:val="24"/>
          <w:lang w:eastAsia="fr-FR"/>
        </w:rPr>
      </w:pPr>
      <w:r w:rsidRPr="002B2F0B">
        <w:rPr>
          <w:b/>
          <w:bCs/>
          <w:szCs w:val="24"/>
          <w:lang w:eastAsia="fr-FR"/>
        </w:rPr>
        <w:br w:type="page"/>
      </w:r>
    </w:p>
    <w:p w:rsidR="002022AB" w:rsidRPr="002B2F0B" w:rsidRDefault="002022AB" w:rsidP="00075179">
      <w:pPr>
        <w:keepNext/>
        <w:spacing w:before="360" w:after="120" w:line="360" w:lineRule="auto"/>
        <w:jc w:val="center"/>
        <w:rPr>
          <w:b/>
          <w:bCs/>
          <w:i/>
          <w:iCs/>
          <w:szCs w:val="24"/>
          <w:lang w:eastAsia="fr-FR"/>
        </w:rPr>
      </w:pPr>
      <w:r w:rsidRPr="002B2F0B">
        <w:rPr>
          <w:b/>
          <w:bCs/>
          <w:i/>
          <w:iCs/>
          <w:szCs w:val="24"/>
          <w:lang w:eastAsia="fr-FR"/>
        </w:rPr>
        <w:t xml:space="preserve">Article 26 </w:t>
      </w:r>
      <w:r w:rsidRPr="002B2F0B">
        <w:rPr>
          <w:b/>
          <w:bCs/>
          <w:i/>
          <w:iCs/>
          <w:szCs w:val="24"/>
          <w:lang w:eastAsia="fr-FR"/>
        </w:rPr>
        <w:br/>
        <w:t>Responsabilité de la banque</w:t>
      </w:r>
    </w:p>
    <w:p w:rsidR="002022AB" w:rsidRPr="002B2F0B" w:rsidRDefault="002022AB" w:rsidP="00075179">
      <w:pPr>
        <w:spacing w:line="360" w:lineRule="auto"/>
        <w:rPr>
          <w:b/>
          <w:bCs/>
          <w:i/>
          <w:iCs/>
          <w:szCs w:val="24"/>
          <w:lang w:eastAsia="fr-FR" w:bidi="fr-FR"/>
        </w:rPr>
      </w:pPr>
      <w:r w:rsidRPr="002B2F0B">
        <w:rPr>
          <w:b/>
          <w:bCs/>
          <w:i/>
          <w:iCs/>
          <w:szCs w:val="24"/>
          <w:lang w:eastAsia="fr-FR" w:bidi="fr-FR"/>
        </w:rPr>
        <w:t>Toute responsabilité de la banque pour manquement aux obligations qui lui incombent au titre du présent règlement est régie par le droit de l'État membre d'exécution.</w:t>
      </w:r>
    </w:p>
    <w:p w:rsidR="002022AB" w:rsidRPr="002B2F0B" w:rsidRDefault="002022AB" w:rsidP="00075179">
      <w:pPr>
        <w:spacing w:line="360" w:lineRule="auto"/>
        <w:ind w:left="851" w:hanging="851"/>
        <w:rPr>
          <w:b/>
          <w:bCs/>
          <w:i/>
          <w:iCs/>
          <w:szCs w:val="24"/>
          <w:lang w:eastAsia="fr-FR" w:bidi="fr-FR"/>
        </w:rPr>
      </w:pPr>
    </w:p>
    <w:p w:rsidR="002022AB" w:rsidRPr="002B2F0B" w:rsidRDefault="002022AB" w:rsidP="00075179">
      <w:pPr>
        <w:keepNext/>
        <w:spacing w:before="360" w:after="120" w:line="360" w:lineRule="auto"/>
        <w:jc w:val="center"/>
        <w:rPr>
          <w:b/>
          <w:bCs/>
          <w:i/>
          <w:iCs/>
          <w:szCs w:val="24"/>
          <w:lang w:eastAsia="fr-FR"/>
        </w:rPr>
      </w:pPr>
      <w:r w:rsidRPr="002B2F0B">
        <w:rPr>
          <w:b/>
          <w:bCs/>
          <w:i/>
          <w:iCs/>
          <w:szCs w:val="24"/>
          <w:lang w:eastAsia="fr-FR"/>
        </w:rPr>
        <w:t xml:space="preserve">Article 27 </w:t>
      </w:r>
      <w:r w:rsidRPr="002B2F0B">
        <w:rPr>
          <w:b/>
          <w:bCs/>
          <w:i/>
          <w:iCs/>
          <w:szCs w:val="24"/>
          <w:lang w:eastAsia="fr-FR"/>
        </w:rPr>
        <w:br/>
        <w:t>Obligation du créancier de demander la libération des montants excédant ceux précisés dans l’ordonnance de saisie conservatoire</w:t>
      </w:r>
    </w:p>
    <w:p w:rsidR="002022AB" w:rsidRPr="002B2F0B" w:rsidRDefault="002022AB" w:rsidP="00075179">
      <w:pPr>
        <w:spacing w:before="120" w:after="120" w:line="360" w:lineRule="auto"/>
        <w:ind w:left="851" w:hanging="851"/>
        <w:rPr>
          <w:b/>
          <w:bCs/>
          <w:i/>
          <w:iCs/>
          <w:szCs w:val="24"/>
          <w:lang w:eastAsia="fr-FR" w:bidi="fr-FR"/>
        </w:rPr>
      </w:pPr>
      <w:r w:rsidRPr="002B2F0B">
        <w:rPr>
          <w:b/>
          <w:bCs/>
          <w:i/>
          <w:iCs/>
          <w:szCs w:val="24"/>
          <w:lang w:eastAsia="fr-FR" w:bidi="fr-FR"/>
        </w:rPr>
        <w:t>1.</w:t>
      </w:r>
      <w:r w:rsidRPr="002B2F0B">
        <w:rPr>
          <w:b/>
          <w:bCs/>
          <w:i/>
          <w:iCs/>
          <w:szCs w:val="24"/>
          <w:lang w:eastAsia="fr-FR" w:bidi="fr-FR"/>
        </w:rPr>
        <w:tab/>
        <w:t>Le créancier est tenu de prendre les mesures nécessaires pour veiller à la libération de tout montant qui, suite à la mise en œuvre de l'ordonnance de saisie conservatoire, excède le montant précisé dans ladite ordonnance :</w:t>
      </w:r>
    </w:p>
    <w:p w:rsidR="002022AB" w:rsidRPr="002B2F0B" w:rsidRDefault="002022AB" w:rsidP="00075179">
      <w:pPr>
        <w:spacing w:before="120" w:after="120" w:line="360" w:lineRule="auto"/>
        <w:ind w:left="1418" w:hanging="567"/>
        <w:rPr>
          <w:b/>
          <w:bCs/>
          <w:i/>
          <w:iCs/>
          <w:szCs w:val="24"/>
          <w:lang w:eastAsia="fr-FR" w:bidi="fr-FR"/>
        </w:rPr>
      </w:pPr>
      <w:r w:rsidRPr="002B2F0B">
        <w:rPr>
          <w:b/>
          <w:bCs/>
          <w:i/>
          <w:iCs/>
          <w:szCs w:val="24"/>
          <w:lang w:eastAsia="fr-FR" w:bidi="fr-FR"/>
        </w:rPr>
        <w:t>a)</w:t>
      </w:r>
      <w:r w:rsidRPr="002B2F0B">
        <w:rPr>
          <w:b/>
          <w:bCs/>
          <w:i/>
          <w:iCs/>
          <w:szCs w:val="24"/>
          <w:lang w:eastAsia="fr-FR" w:bidi="fr-FR"/>
        </w:rPr>
        <w:tab/>
        <w:t>lorsque l'ordonnance concerne plusieurs comptes détenus dans le même État membre ou dans différents États membres ; ou</w:t>
      </w:r>
    </w:p>
    <w:p w:rsidR="002022AB" w:rsidRPr="002B2F0B" w:rsidRDefault="002022AB" w:rsidP="00075179">
      <w:pPr>
        <w:spacing w:before="120" w:after="120" w:line="360" w:lineRule="auto"/>
        <w:ind w:left="1418" w:hanging="567"/>
        <w:rPr>
          <w:b/>
          <w:bCs/>
          <w:i/>
          <w:iCs/>
          <w:szCs w:val="24"/>
          <w:lang w:eastAsia="fr-FR" w:bidi="fr-FR"/>
        </w:rPr>
      </w:pPr>
      <w:r w:rsidRPr="002B2F0B">
        <w:rPr>
          <w:b/>
          <w:bCs/>
          <w:i/>
          <w:iCs/>
          <w:szCs w:val="24"/>
          <w:lang w:eastAsia="fr-FR" w:bidi="fr-FR"/>
        </w:rPr>
        <w:t>b)</w:t>
      </w:r>
      <w:r w:rsidRPr="002B2F0B">
        <w:rPr>
          <w:b/>
          <w:bCs/>
          <w:i/>
          <w:iCs/>
          <w:szCs w:val="24"/>
          <w:lang w:eastAsia="fr-FR" w:bidi="fr-FR"/>
        </w:rPr>
        <w:tab/>
        <w:t xml:space="preserve">lorsque l'ordonnance a été délivrée après la mise en œuvre d'une ou de plusieurs ordonnances équivalentes sur le plan national, à l'encontre du même débiteur et visant à garantir la même créance. </w:t>
      </w:r>
    </w:p>
    <w:p w:rsidR="002022AB" w:rsidRPr="002B2F0B" w:rsidRDefault="002022AB" w:rsidP="00075179">
      <w:pPr>
        <w:spacing w:before="120" w:after="120" w:line="360" w:lineRule="auto"/>
        <w:ind w:left="851" w:hanging="851"/>
        <w:rPr>
          <w:b/>
          <w:bCs/>
          <w:i/>
          <w:iCs/>
          <w:szCs w:val="24"/>
          <w:lang w:eastAsia="fr-FR" w:bidi="fr-FR"/>
        </w:rPr>
      </w:pPr>
      <w:r w:rsidRPr="002B2F0B">
        <w:rPr>
          <w:b/>
          <w:bCs/>
          <w:i/>
          <w:iCs/>
          <w:szCs w:val="24"/>
          <w:lang w:eastAsia="fr-FR" w:bidi="fr-FR"/>
        </w:rPr>
        <w:br w:type="page"/>
        <w:t>2.</w:t>
      </w:r>
      <w:r w:rsidRPr="002B2F0B">
        <w:rPr>
          <w:b/>
          <w:bCs/>
          <w:i/>
          <w:iCs/>
          <w:szCs w:val="24"/>
          <w:lang w:eastAsia="fr-FR" w:bidi="fr-FR"/>
        </w:rPr>
        <w:tab/>
        <w:t>Au plus tard à la fin du troisième jour ouvrable suivant la réception de toute déclaration en vertu de l'article 25, indiquant que les montants faisant l’objet de la saisie conservatoire excèdent ceux précisés dans l'ordonnance, le créancier soumet, par les moyens les plus rapides possibles et à l'aide du formulaire prévu pour demander la libération des montants excédant ceux précisés dans l’ordonnance, établi au moyen d'actes d'exécution adoptés en conformité avec la procédure consultative visée à l'article 52, paragraphe 2, une demande de libération à l'autorité compétente de l'État membre d'exécution dans lequel les montants faisant l’objet d’une saisie conservatoire ont excédé ceux précisés dans l'ordonnance.</w:t>
      </w:r>
    </w:p>
    <w:p w:rsidR="002022AB" w:rsidRPr="002B2F0B" w:rsidRDefault="002022AB" w:rsidP="00075179">
      <w:pPr>
        <w:spacing w:before="120" w:after="120" w:line="360" w:lineRule="auto"/>
        <w:ind w:left="851"/>
        <w:rPr>
          <w:b/>
          <w:bCs/>
          <w:i/>
          <w:iCs/>
          <w:szCs w:val="24"/>
          <w:lang w:eastAsia="fr-FR" w:bidi="fr-FR"/>
        </w:rPr>
      </w:pPr>
      <w:r w:rsidRPr="002B2F0B">
        <w:rPr>
          <w:b/>
          <w:bCs/>
          <w:i/>
          <w:iCs/>
          <w:szCs w:val="24"/>
          <w:lang w:eastAsia="fr-FR" w:bidi="fr-FR"/>
        </w:rPr>
        <w:t xml:space="preserve">Dès réception de la demande, cette autorité charge dans les plus brefs délais la banque concernée de procéder à la libération des montants qui excèdent ceux précisés dans l’ordonnance. L'article 24, paragraphe 7, s'applique, le cas échéant, dans l'ordre inverse de priorité. </w:t>
      </w:r>
    </w:p>
    <w:p w:rsidR="002022AB" w:rsidRPr="002B2F0B" w:rsidRDefault="002022AB" w:rsidP="00075179">
      <w:pPr>
        <w:spacing w:before="120" w:after="120" w:line="360" w:lineRule="auto"/>
        <w:ind w:left="851" w:hanging="851"/>
        <w:rPr>
          <w:b/>
          <w:bCs/>
          <w:i/>
          <w:iCs/>
          <w:szCs w:val="24"/>
          <w:lang w:eastAsia="fr-FR" w:bidi="fr-FR"/>
        </w:rPr>
      </w:pPr>
      <w:r w:rsidRPr="002B2F0B">
        <w:rPr>
          <w:b/>
          <w:bCs/>
          <w:i/>
          <w:iCs/>
          <w:szCs w:val="24"/>
          <w:lang w:eastAsia="fr-FR" w:bidi="fr-FR"/>
        </w:rPr>
        <w:t>3.</w:t>
      </w:r>
      <w:r w:rsidRPr="002B2F0B">
        <w:rPr>
          <w:b/>
          <w:bCs/>
          <w:i/>
          <w:iCs/>
          <w:szCs w:val="24"/>
          <w:lang w:eastAsia="fr-FR" w:bidi="fr-FR"/>
        </w:rPr>
        <w:tab/>
        <w:t xml:space="preserve">Le présent article n'exclut pas qu'un État membre puisse prévoir dans son droit national que l'autorité d'exécution compétente de cet État membre doit procéder de sa propre initiative à la libération des fonds excédant ceux précisés dans l’ordonnance à partir de tout compte tenu sur son territoire. </w:t>
      </w:r>
    </w:p>
    <w:p w:rsidR="002022AB" w:rsidRPr="002B2F0B" w:rsidRDefault="002022AB" w:rsidP="00075179">
      <w:pPr>
        <w:spacing w:before="120" w:after="120" w:line="360" w:lineRule="auto"/>
        <w:ind w:left="851" w:hanging="851"/>
        <w:rPr>
          <w:b/>
          <w:bCs/>
          <w:i/>
          <w:iCs/>
          <w:szCs w:val="24"/>
          <w:lang w:eastAsia="fr-FR" w:bidi="fr-FR"/>
        </w:rPr>
      </w:pPr>
      <w:r w:rsidRPr="002B2F0B">
        <w:rPr>
          <w:b/>
          <w:bCs/>
          <w:i/>
          <w:iCs/>
          <w:szCs w:val="24"/>
          <w:lang w:eastAsia="fr-FR" w:bidi="fr-FR"/>
        </w:rPr>
        <w:t>▌</w:t>
      </w:r>
    </w:p>
    <w:p w:rsidR="002022AB" w:rsidRPr="002B2F0B" w:rsidRDefault="002022AB" w:rsidP="00075179">
      <w:pPr>
        <w:spacing w:before="120" w:after="120" w:line="360" w:lineRule="auto"/>
        <w:ind w:left="851" w:hanging="851"/>
        <w:rPr>
          <w:b/>
          <w:bCs/>
          <w:i/>
          <w:iCs/>
          <w:szCs w:val="24"/>
          <w:lang w:eastAsia="fr-FR" w:bidi="fr-FR"/>
        </w:rPr>
      </w:pPr>
      <w:r w:rsidRPr="002B2F0B">
        <w:rPr>
          <w:b/>
          <w:bCs/>
          <w:i/>
          <w:iCs/>
          <w:szCs w:val="24"/>
          <w:lang w:eastAsia="fr-FR" w:bidi="fr-FR"/>
        </w:rPr>
        <w:br w:type="page"/>
      </w:r>
    </w:p>
    <w:p w:rsidR="002022AB" w:rsidRPr="002B2F0B" w:rsidRDefault="002022AB" w:rsidP="00075179">
      <w:pPr>
        <w:keepNext/>
        <w:spacing w:before="360" w:after="120" w:line="360" w:lineRule="auto"/>
        <w:jc w:val="center"/>
        <w:rPr>
          <w:b/>
          <w:bCs/>
          <w:i/>
          <w:iCs/>
          <w:szCs w:val="24"/>
          <w:lang w:eastAsia="fr-FR"/>
        </w:rPr>
      </w:pPr>
      <w:r w:rsidRPr="002B2F0B">
        <w:rPr>
          <w:b/>
          <w:bCs/>
          <w:i/>
          <w:iCs/>
          <w:szCs w:val="24"/>
          <w:lang w:eastAsia="fr-FR"/>
        </w:rPr>
        <w:t xml:space="preserve">Article 28 </w:t>
      </w:r>
      <w:r w:rsidRPr="002B2F0B">
        <w:rPr>
          <w:b/>
          <w:bCs/>
          <w:i/>
          <w:iCs/>
          <w:szCs w:val="24"/>
          <w:lang w:eastAsia="fr-FR"/>
        </w:rPr>
        <w:br/>
        <w:t>Signification ou notification au débiteur</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1.</w:t>
      </w:r>
      <w:r w:rsidRPr="002B2F0B">
        <w:rPr>
          <w:b/>
          <w:bCs/>
          <w:i/>
          <w:iCs/>
          <w:szCs w:val="24"/>
          <w:lang w:eastAsia="fr-FR"/>
        </w:rPr>
        <w:tab/>
        <w:t>L'ordonnance de saisie conservatoire, les autres documents visés au paragraphe 5 du présent article et la déclaration en vertu de l'article 25 sont signifiés ou notifiés au débiteur conformément au présent article.</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2.</w:t>
      </w:r>
      <w:r w:rsidRPr="002B2F0B">
        <w:rPr>
          <w:b/>
          <w:bCs/>
          <w:i/>
          <w:iCs/>
          <w:szCs w:val="24"/>
          <w:lang w:eastAsia="fr-FR"/>
        </w:rPr>
        <w:tab/>
        <w:t>Lorsque le débiteur est domicilié dans l'État membre d'origine, la signification ou la notification s'effectue conformément au droit de cet État membre. La signification ou la notification est effectuée, au plus tard à la fin du troisième jour ouvrable suivant le jour de réception de la déclaration en vertu de l'article 25 indiquant que des montants ont fait l'objet d'une saisie conservatoire, par la juridiction qui a délivré l’ordonnance ou le créancier, selon celui qui est chargé de procéder à la signification ou à la notification dans l'État membre d'origine.</w:t>
      </w:r>
    </w:p>
    <w:p w:rsidR="002022AB" w:rsidRPr="002B2F0B" w:rsidRDefault="002022AB" w:rsidP="00075179">
      <w:pPr>
        <w:widowControl w:val="0"/>
        <w:spacing w:before="120" w:after="120" w:line="360" w:lineRule="auto"/>
        <w:ind w:left="851" w:hanging="851"/>
        <w:rPr>
          <w:b/>
          <w:bCs/>
          <w:i/>
          <w:iCs/>
          <w:szCs w:val="24"/>
          <w:lang w:eastAsia="fr-FR"/>
        </w:rPr>
      </w:pPr>
      <w:r w:rsidRPr="002B2F0B">
        <w:rPr>
          <w:b/>
          <w:bCs/>
          <w:i/>
          <w:iCs/>
          <w:szCs w:val="24"/>
          <w:lang w:eastAsia="fr-FR"/>
        </w:rPr>
        <w:t>3.</w:t>
      </w:r>
      <w:r w:rsidRPr="002B2F0B">
        <w:rPr>
          <w:b/>
          <w:bCs/>
          <w:i/>
          <w:iCs/>
          <w:szCs w:val="24"/>
          <w:lang w:eastAsia="fr-FR"/>
        </w:rPr>
        <w:tab/>
        <w:t>Lorsque le débiteur est domicilié dans un État membre autre que l'État membre d'origine, la juridiction qui a délivré l’ordonnance ou le créancier, selon celui qui est chargé de procéder à la signification ou à la notification dans l'État membre d'origine, transmet les documents visés au paragraphe 1 du présent article conformément à l'article 29 à l'autorité compétente de l'État membre dans lequel le débiteur est domicilié, au plus tard à la fin du troisième jour ouvrable suivant le jour de réception de la déclaration en vertu de l'article 25 indiquant que des montants ont fait l'objet d'une saisie conservatoire. Cette autorité prend, sans tarder, les mesures nécessaires pour que les documents soient signifiés ou notifiés au débiteur conformément au droit de l'État membre dans lequel le débiteur est domicilié.</w:t>
      </w:r>
    </w:p>
    <w:p w:rsidR="002022AB" w:rsidRPr="002B2F0B" w:rsidRDefault="002022AB" w:rsidP="00075179">
      <w:pPr>
        <w:widowControl w:val="0"/>
        <w:spacing w:before="120" w:after="120" w:line="360" w:lineRule="auto"/>
        <w:ind w:left="851" w:hanging="851"/>
        <w:rPr>
          <w:b/>
          <w:bCs/>
          <w:i/>
          <w:iCs/>
          <w:szCs w:val="24"/>
          <w:lang w:eastAsia="fr-FR"/>
        </w:rPr>
      </w:pPr>
      <w:r w:rsidRPr="002B2F0B">
        <w:rPr>
          <w:b/>
          <w:bCs/>
          <w:i/>
          <w:iCs/>
          <w:szCs w:val="24"/>
          <w:lang w:eastAsia="fr-FR"/>
        </w:rPr>
        <w:br w:type="page"/>
      </w:r>
    </w:p>
    <w:p w:rsidR="002022AB" w:rsidRPr="002B2F0B" w:rsidRDefault="002022AB" w:rsidP="00075179">
      <w:pPr>
        <w:widowControl w:val="0"/>
        <w:spacing w:before="120" w:after="120" w:line="360" w:lineRule="auto"/>
        <w:ind w:left="851"/>
        <w:rPr>
          <w:b/>
          <w:bCs/>
          <w:i/>
          <w:iCs/>
          <w:szCs w:val="24"/>
          <w:lang w:eastAsia="fr-FR"/>
        </w:rPr>
      </w:pPr>
      <w:r w:rsidRPr="002B2F0B">
        <w:rPr>
          <w:b/>
          <w:bCs/>
          <w:i/>
          <w:iCs/>
          <w:szCs w:val="24"/>
          <w:lang w:eastAsia="fr-FR"/>
        </w:rPr>
        <w:t xml:space="preserve">Lorsque l'État membre dans lequel le débiteur est domicilié est le seul État membre d'exécution, les documents visés au paragraphe 5 du présent article sont transmis à l'autorité compétente dudit État membre au moment où l'ordonnance est transmise conformément à l'article 23, paragraphe 3. Dans ce cas, ladite autorité compétente procède à la signification ou à la notification de tous les documents visés au paragraphe 1 du présent article au plus tard à la fin du troisième jour ouvrable suivant le jour de réception ou d'émission de la déclaration en vertu de l'article 25, indiquant que des montants ont fait l'objet d'une saisie conservatoire. </w:t>
      </w:r>
    </w:p>
    <w:p w:rsidR="002022AB" w:rsidRPr="002B2F0B" w:rsidRDefault="002022AB" w:rsidP="00075179">
      <w:pPr>
        <w:widowControl w:val="0"/>
        <w:spacing w:before="120" w:after="120" w:line="360" w:lineRule="auto"/>
        <w:ind w:left="851" w:hanging="851"/>
        <w:rPr>
          <w:b/>
          <w:bCs/>
          <w:i/>
          <w:iCs/>
          <w:szCs w:val="24"/>
          <w:lang w:eastAsia="fr-FR"/>
        </w:rPr>
      </w:pPr>
      <w:r w:rsidRPr="002B2F0B">
        <w:rPr>
          <w:b/>
          <w:bCs/>
          <w:i/>
          <w:iCs/>
          <w:szCs w:val="24"/>
          <w:lang w:eastAsia="fr-FR"/>
        </w:rPr>
        <w:tab/>
        <w:t xml:space="preserve">L'autorité compétente informe la juridiction qui a délivré l’ordonnance ou le créancier, selon celui qui a transmis les documents devant être signifiés ou notifiés, du résultat de cette signification ou notification au débiteur. </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4.</w:t>
      </w:r>
      <w:r w:rsidRPr="002B2F0B">
        <w:rPr>
          <w:b/>
          <w:bCs/>
          <w:i/>
          <w:iCs/>
          <w:szCs w:val="24"/>
          <w:lang w:eastAsia="fr-FR"/>
        </w:rPr>
        <w:tab/>
        <w:t>Lorsque le débiteur est domicilié dans un État tiers, la signification ou la notification est effectuée conformément aux règles relatives aux significations et notifications internationales applicables dans l'État membre d'origine.</w:t>
      </w:r>
    </w:p>
    <w:p w:rsidR="002022AB" w:rsidRPr="002B2F0B" w:rsidRDefault="002022AB" w:rsidP="00075179">
      <w:pPr>
        <w:widowControl w:val="0"/>
        <w:spacing w:before="120" w:after="120" w:line="360" w:lineRule="auto"/>
        <w:ind w:left="851" w:hanging="851"/>
        <w:rPr>
          <w:b/>
          <w:bCs/>
          <w:i/>
          <w:iCs/>
          <w:szCs w:val="24"/>
          <w:lang w:eastAsia="fr-FR"/>
        </w:rPr>
      </w:pPr>
      <w:r w:rsidRPr="002B2F0B">
        <w:rPr>
          <w:b/>
          <w:bCs/>
          <w:i/>
          <w:iCs/>
          <w:szCs w:val="24"/>
          <w:lang w:eastAsia="fr-FR"/>
        </w:rPr>
        <w:t>5.</w:t>
      </w:r>
      <w:r w:rsidRPr="002B2F0B">
        <w:rPr>
          <w:b/>
          <w:bCs/>
          <w:i/>
          <w:iCs/>
          <w:szCs w:val="24"/>
          <w:lang w:eastAsia="fr-FR"/>
        </w:rPr>
        <w:tab/>
        <w:t>Les documents suivants sont signifiés ou notifiés au débiteur et, si nécessaire, sont accompagnés d'une traduction ou d'une translittération comme le prévoit l'article 49, paragraphe 1:</w:t>
      </w:r>
    </w:p>
    <w:p w:rsidR="002022AB" w:rsidRPr="002B2F0B" w:rsidRDefault="002022AB" w:rsidP="00075179">
      <w:pPr>
        <w:widowControl w:val="0"/>
        <w:spacing w:before="120" w:after="120" w:line="360" w:lineRule="auto"/>
        <w:ind w:left="1418" w:hanging="567"/>
        <w:rPr>
          <w:b/>
          <w:bCs/>
          <w:i/>
          <w:iCs/>
          <w:szCs w:val="24"/>
          <w:lang w:eastAsia="fr-FR"/>
        </w:rPr>
      </w:pPr>
      <w:r w:rsidRPr="002B2F0B">
        <w:rPr>
          <w:b/>
          <w:bCs/>
          <w:i/>
          <w:iCs/>
          <w:szCs w:val="24"/>
          <w:lang w:eastAsia="fr-FR"/>
        </w:rPr>
        <w:t>a)</w:t>
      </w:r>
      <w:r w:rsidRPr="002B2F0B">
        <w:rPr>
          <w:b/>
          <w:bCs/>
          <w:i/>
          <w:iCs/>
          <w:szCs w:val="24"/>
          <w:lang w:eastAsia="fr-FR"/>
        </w:rPr>
        <w:tab/>
        <w:t>l'ordonnance de saisie conservatoire comportant les parties A et B du formulaire visées à l'article 19, paragraphes 2 et 3;</w:t>
      </w:r>
    </w:p>
    <w:p w:rsidR="002022AB" w:rsidRPr="002B2F0B" w:rsidRDefault="002022AB" w:rsidP="00075179">
      <w:pPr>
        <w:widowControl w:val="0"/>
        <w:spacing w:before="120" w:after="120" w:line="360" w:lineRule="auto"/>
        <w:ind w:left="1418" w:hanging="567"/>
        <w:rPr>
          <w:b/>
          <w:bCs/>
          <w:i/>
          <w:iCs/>
          <w:szCs w:val="24"/>
          <w:lang w:eastAsia="fr-FR"/>
        </w:rPr>
      </w:pPr>
      <w:r w:rsidRPr="002B2F0B">
        <w:rPr>
          <w:b/>
          <w:bCs/>
          <w:i/>
          <w:iCs/>
          <w:szCs w:val="24"/>
          <w:lang w:eastAsia="fr-FR"/>
        </w:rPr>
        <w:br w:type="page"/>
      </w:r>
    </w:p>
    <w:p w:rsidR="002022AB" w:rsidRPr="002B2F0B" w:rsidRDefault="002022AB" w:rsidP="00075179">
      <w:pPr>
        <w:widowControl w:val="0"/>
        <w:spacing w:before="120" w:after="120" w:line="360" w:lineRule="auto"/>
        <w:ind w:left="1418" w:hanging="567"/>
        <w:rPr>
          <w:b/>
          <w:bCs/>
          <w:i/>
          <w:iCs/>
          <w:szCs w:val="24"/>
          <w:lang w:eastAsia="fr-FR"/>
        </w:rPr>
      </w:pPr>
      <w:r w:rsidRPr="002B2F0B">
        <w:rPr>
          <w:b/>
          <w:bCs/>
          <w:i/>
          <w:iCs/>
          <w:szCs w:val="24"/>
          <w:lang w:eastAsia="fr-FR"/>
        </w:rPr>
        <w:t>b)</w:t>
      </w:r>
      <w:r w:rsidRPr="002B2F0B">
        <w:rPr>
          <w:b/>
          <w:bCs/>
          <w:i/>
          <w:iCs/>
          <w:szCs w:val="24"/>
          <w:lang w:eastAsia="fr-FR"/>
        </w:rPr>
        <w:tab/>
        <w:t xml:space="preserve">la demande d'ordonnance de saisie conservatoire qui a été introduite par le créancier auprès de la juridiction; </w:t>
      </w:r>
    </w:p>
    <w:p w:rsidR="002022AB" w:rsidRPr="002B2F0B" w:rsidRDefault="002022AB" w:rsidP="00075179">
      <w:pPr>
        <w:widowControl w:val="0"/>
        <w:spacing w:before="120" w:after="120" w:line="360" w:lineRule="auto"/>
        <w:ind w:left="1418" w:hanging="567"/>
        <w:rPr>
          <w:b/>
          <w:bCs/>
          <w:i/>
          <w:iCs/>
          <w:szCs w:val="24"/>
          <w:lang w:eastAsia="fr-FR"/>
        </w:rPr>
      </w:pPr>
      <w:r w:rsidRPr="002B2F0B">
        <w:rPr>
          <w:b/>
          <w:bCs/>
          <w:i/>
          <w:iCs/>
          <w:szCs w:val="24"/>
          <w:lang w:eastAsia="fr-FR"/>
        </w:rPr>
        <w:t>c)</w:t>
      </w:r>
      <w:r w:rsidRPr="002B2F0B">
        <w:rPr>
          <w:b/>
          <w:bCs/>
          <w:i/>
          <w:iCs/>
          <w:szCs w:val="24"/>
          <w:lang w:eastAsia="fr-FR"/>
        </w:rPr>
        <w:tab/>
        <w:t>les copies de tous les documents fournis par le créancier à la juridiction en vue de l'obtention de l'ordonnance.</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6.</w:t>
      </w:r>
      <w:r w:rsidRPr="002B2F0B">
        <w:rPr>
          <w:b/>
          <w:bCs/>
          <w:i/>
          <w:iCs/>
          <w:szCs w:val="24"/>
          <w:lang w:eastAsia="fr-FR"/>
        </w:rPr>
        <w:tab/>
        <w:t>Lorsque l'ordonnance de saisie conservatoire concerne plusieurs banques, seule la première déclaration en vertu de l'article 25, indiquant que des montants ont fait l'objet d'une saisie conservatoire, est signifiée ou notifiée au débiteur conformément au présent article. Les déclarations ultérieures éventuelles en vertu de l'article 25 sont portées à la connaissance du débiteur sans tarder.</w:t>
      </w:r>
    </w:p>
    <w:p w:rsidR="002022AB" w:rsidRPr="002B2F0B" w:rsidRDefault="002022AB" w:rsidP="00075179">
      <w:pPr>
        <w:spacing w:before="120" w:after="120" w:line="360" w:lineRule="auto"/>
        <w:jc w:val="center"/>
        <w:rPr>
          <w:b/>
          <w:bCs/>
          <w:i/>
          <w:szCs w:val="24"/>
          <w:lang w:eastAsia="fr-FR"/>
        </w:rPr>
      </w:pPr>
      <w:r w:rsidRPr="002B2F0B">
        <w:rPr>
          <w:b/>
          <w:bCs/>
          <w:i/>
          <w:szCs w:val="24"/>
          <w:lang w:eastAsia="fr-FR"/>
        </w:rPr>
        <w:t>Article 29</w:t>
      </w:r>
      <w:r w:rsidRPr="002B2F0B">
        <w:rPr>
          <w:b/>
          <w:bCs/>
          <w:i/>
          <w:szCs w:val="24"/>
          <w:lang w:eastAsia="fr-FR"/>
        </w:rPr>
        <w:br/>
        <w:t>Transmission de documents</w:t>
      </w:r>
    </w:p>
    <w:p w:rsidR="002022AB" w:rsidRPr="002B2F0B" w:rsidRDefault="002022AB" w:rsidP="00075179">
      <w:pPr>
        <w:keepNext/>
        <w:spacing w:before="120" w:after="120" w:line="360" w:lineRule="auto"/>
        <w:ind w:left="851" w:hanging="851"/>
        <w:rPr>
          <w:b/>
          <w:bCs/>
          <w:i/>
          <w:szCs w:val="24"/>
          <w:lang w:eastAsia="fr-FR"/>
        </w:rPr>
      </w:pPr>
      <w:r w:rsidRPr="002B2F0B">
        <w:rPr>
          <w:b/>
          <w:bCs/>
          <w:i/>
          <w:szCs w:val="24"/>
          <w:lang w:eastAsia="fr-FR"/>
        </w:rPr>
        <w:t>1.</w:t>
      </w:r>
      <w:r w:rsidRPr="002B2F0B">
        <w:rPr>
          <w:b/>
          <w:bCs/>
          <w:i/>
          <w:szCs w:val="24"/>
          <w:lang w:eastAsia="fr-FR"/>
        </w:rPr>
        <w:tab/>
        <w:t xml:space="preserve">Dans les cas où le présent règlement prévoit la transmission de documents conformément au présent article, cette transmission peut être effectuée par tout moyen approprié, sous réserve que le contenu du document reçu soit fidèle et conforme à celui du document transmis et que toutes les informations qu’il contient soient aisément lisibles. </w:t>
      </w:r>
    </w:p>
    <w:p w:rsidR="002022AB" w:rsidRPr="002B2F0B" w:rsidRDefault="002022AB" w:rsidP="00075179">
      <w:pPr>
        <w:keepNext/>
        <w:spacing w:before="120" w:after="120" w:line="360" w:lineRule="auto"/>
        <w:ind w:left="851" w:hanging="851"/>
        <w:rPr>
          <w:b/>
          <w:bCs/>
          <w:i/>
          <w:szCs w:val="24"/>
          <w:lang w:eastAsia="fr-FR"/>
        </w:rPr>
      </w:pPr>
      <w:r w:rsidRPr="002B2F0B">
        <w:rPr>
          <w:b/>
          <w:bCs/>
          <w:i/>
          <w:szCs w:val="24"/>
          <w:lang w:eastAsia="fr-FR"/>
        </w:rPr>
        <w:br w:type="page"/>
      </w:r>
    </w:p>
    <w:p w:rsidR="002022AB" w:rsidRPr="002B2F0B" w:rsidRDefault="002022AB" w:rsidP="00075179">
      <w:pPr>
        <w:widowControl w:val="0"/>
        <w:spacing w:before="120" w:after="120" w:line="360" w:lineRule="auto"/>
        <w:ind w:left="851" w:hanging="851"/>
        <w:rPr>
          <w:b/>
          <w:bCs/>
          <w:i/>
          <w:szCs w:val="24"/>
          <w:lang w:eastAsia="fr-FR"/>
        </w:rPr>
      </w:pPr>
      <w:r w:rsidRPr="002B2F0B">
        <w:rPr>
          <w:b/>
          <w:bCs/>
          <w:i/>
          <w:szCs w:val="24"/>
          <w:lang w:eastAsia="fr-FR"/>
        </w:rPr>
        <w:t>2.</w:t>
      </w:r>
      <w:r w:rsidRPr="002B2F0B">
        <w:rPr>
          <w:b/>
          <w:bCs/>
          <w:i/>
          <w:szCs w:val="24"/>
          <w:lang w:eastAsia="fr-FR"/>
        </w:rPr>
        <w:tab/>
        <w:t xml:space="preserve">La juridiction ou l'autorité qui a reçu des documents conformément au paragraphe 1 du présent article adresse, au plus tard à la fin du jour ouvrable suivant le jour de réception, un accusé de réception à l'autorité, au créancier ou à la banque qui a transmis les documents, en ayant recours aux moyens de transmission les plus rapides et en utilisant le formulaire type établi au moyen d'actes d'exécution adoptés en conformité avec la procédure consultative visée à l'article 52, paragraphe 2. </w:t>
      </w:r>
    </w:p>
    <w:p w:rsidR="002022AB" w:rsidRPr="002B2F0B" w:rsidRDefault="002022AB" w:rsidP="00075179">
      <w:pPr>
        <w:keepNext/>
        <w:spacing w:before="120" w:after="120" w:line="360" w:lineRule="auto"/>
        <w:jc w:val="center"/>
        <w:rPr>
          <w:i/>
          <w:iCs/>
          <w:szCs w:val="24"/>
          <w:lang w:eastAsia="fr-FR"/>
        </w:rPr>
      </w:pPr>
      <w:r w:rsidRPr="002B2F0B">
        <w:rPr>
          <w:i/>
          <w:iCs/>
          <w:szCs w:val="24"/>
          <w:lang w:eastAsia="fr-FR"/>
        </w:rPr>
        <w:t xml:space="preserve">Article 30 </w:t>
      </w:r>
      <w:r w:rsidRPr="002B2F0B">
        <w:rPr>
          <w:i/>
          <w:iCs/>
          <w:szCs w:val="24"/>
          <w:lang w:eastAsia="fr-FR"/>
        </w:rPr>
        <w:br/>
        <w:t>Saisie conservatoire de comptes joints et de comptes de mandataire</w:t>
      </w:r>
    </w:p>
    <w:p w:rsidR="002022AB" w:rsidRPr="002B2F0B" w:rsidRDefault="002022AB" w:rsidP="00075179">
      <w:pPr>
        <w:widowControl w:val="0"/>
        <w:spacing w:before="120" w:after="120" w:line="360" w:lineRule="auto"/>
        <w:rPr>
          <w:b/>
          <w:bCs/>
          <w:i/>
          <w:iCs/>
          <w:szCs w:val="24"/>
          <w:lang w:eastAsia="fr-FR"/>
        </w:rPr>
      </w:pPr>
      <w:r w:rsidRPr="002B2F0B">
        <w:rPr>
          <w:b/>
          <w:bCs/>
          <w:i/>
          <w:iCs/>
          <w:szCs w:val="24"/>
          <w:lang w:eastAsia="fr-FR"/>
        </w:rPr>
        <w:t>Les fonds détenus sur des comptes qui, selon les dossiers de la banque,</w:t>
      </w:r>
      <w:r w:rsidRPr="002B2F0B">
        <w:rPr>
          <w:szCs w:val="24"/>
          <w:lang w:eastAsia="fr-FR"/>
        </w:rPr>
        <w:t xml:space="preserve"> ne sont pas exclusivement détenus par le </w:t>
      </w:r>
      <w:r w:rsidRPr="002B2F0B">
        <w:rPr>
          <w:b/>
          <w:bCs/>
          <w:i/>
          <w:iCs/>
          <w:szCs w:val="24"/>
          <w:lang w:eastAsia="fr-FR"/>
        </w:rPr>
        <w:t>débiteur, ou sont détenus par un tiers pour le compte du débiteur ou par le débiteur pour le compte d'un tiers, ne peuvent faire l'objet d'une saisie conservatoire au titre du présent règlement que pour autant qu'ils peuvent être soumis à une saisie conservatoire au titre du droit de l'État membre d'exécution.</w:t>
      </w:r>
    </w:p>
    <w:p w:rsidR="002022AB" w:rsidRPr="002B2F0B" w:rsidRDefault="002022AB" w:rsidP="00075179">
      <w:pPr>
        <w:widowControl w:val="0"/>
        <w:spacing w:before="120" w:after="120" w:line="360" w:lineRule="auto"/>
        <w:rPr>
          <w:b/>
          <w:bCs/>
          <w:i/>
          <w:iCs/>
          <w:szCs w:val="24"/>
          <w:lang w:eastAsia="fr-FR"/>
        </w:rPr>
      </w:pPr>
      <w:r w:rsidRPr="002B2F0B">
        <w:rPr>
          <w:b/>
          <w:bCs/>
          <w:i/>
          <w:iCs/>
          <w:szCs w:val="24"/>
          <w:lang w:eastAsia="fr-FR"/>
        </w:rPr>
        <w:t>▌</w:t>
      </w:r>
    </w:p>
    <w:p w:rsidR="002022AB" w:rsidRPr="002B2F0B" w:rsidRDefault="002022AB" w:rsidP="00075179">
      <w:pPr>
        <w:widowControl w:val="0"/>
        <w:spacing w:before="120" w:after="120" w:line="360" w:lineRule="auto"/>
        <w:rPr>
          <w:b/>
          <w:bCs/>
          <w:i/>
          <w:iCs/>
          <w:szCs w:val="24"/>
          <w:lang w:eastAsia="fr-FR"/>
        </w:rPr>
      </w:pPr>
    </w:p>
    <w:p w:rsidR="002022AB" w:rsidRPr="002B2F0B" w:rsidRDefault="002022AB" w:rsidP="00075179">
      <w:pPr>
        <w:keepNext/>
        <w:spacing w:before="120" w:after="120" w:line="360" w:lineRule="auto"/>
        <w:jc w:val="center"/>
        <w:rPr>
          <w:i/>
          <w:iCs/>
          <w:szCs w:val="24"/>
          <w:lang w:eastAsia="fr-FR"/>
        </w:rPr>
      </w:pPr>
      <w:r w:rsidRPr="002B2F0B">
        <w:rPr>
          <w:b/>
          <w:bCs/>
          <w:szCs w:val="24"/>
          <w:lang w:eastAsia="fr-FR"/>
        </w:rPr>
        <w:br w:type="page"/>
      </w:r>
      <w:r w:rsidRPr="002B2F0B">
        <w:rPr>
          <w:i/>
          <w:iCs/>
          <w:szCs w:val="24"/>
          <w:lang w:eastAsia="fr-FR"/>
        </w:rPr>
        <w:t xml:space="preserve">Article 31 </w:t>
      </w:r>
      <w:r w:rsidRPr="002B2F0B">
        <w:rPr>
          <w:i/>
          <w:iCs/>
          <w:szCs w:val="24"/>
          <w:lang w:eastAsia="fr-FR"/>
        </w:rPr>
        <w:br/>
        <w:t xml:space="preserve">Montants exemptés </w:t>
      </w:r>
      <w:r w:rsidRPr="002B2F0B">
        <w:rPr>
          <w:b/>
          <w:bCs/>
          <w:i/>
          <w:iCs/>
          <w:szCs w:val="24"/>
          <w:lang w:eastAsia="fr-FR"/>
        </w:rPr>
        <w:t>de saisie conservatoire</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r>
      <w:r w:rsidRPr="002B2F0B">
        <w:rPr>
          <w:bCs/>
          <w:iCs/>
          <w:szCs w:val="24"/>
          <w:lang w:eastAsia="fr-FR"/>
        </w:rPr>
        <w:t>L</w:t>
      </w:r>
      <w:r w:rsidRPr="002B2F0B">
        <w:rPr>
          <w:szCs w:val="24"/>
          <w:lang w:eastAsia="fr-FR"/>
        </w:rPr>
        <w:t xml:space="preserve">es montants </w:t>
      </w:r>
      <w:r w:rsidRPr="002B2F0B">
        <w:rPr>
          <w:b/>
          <w:bCs/>
          <w:i/>
          <w:iCs/>
          <w:szCs w:val="24"/>
          <w:lang w:eastAsia="fr-FR"/>
        </w:rPr>
        <w:t>qui sont exemptés de saisie au titre du droit de l'État membre d'exécution</w:t>
      </w:r>
      <w:r w:rsidRPr="002B2F0B">
        <w:rPr>
          <w:szCs w:val="24"/>
          <w:lang w:eastAsia="fr-FR"/>
        </w:rPr>
        <w:t xml:space="preserve"> sont exemptés de </w:t>
      </w:r>
      <w:r w:rsidRPr="002B2F0B">
        <w:rPr>
          <w:b/>
          <w:bCs/>
          <w:i/>
          <w:iCs/>
          <w:szCs w:val="24"/>
          <w:lang w:eastAsia="fr-FR"/>
        </w:rPr>
        <w:t>saisie conservatoire au titre du présent règlement</w:t>
      </w:r>
      <w:r w:rsidRPr="002B2F0B">
        <w:rPr>
          <w:szCs w:val="24"/>
          <w:lang w:eastAsia="fr-FR"/>
        </w:rPr>
        <w:t xml:space="preserve">. </w:t>
      </w:r>
    </w:p>
    <w:p w:rsidR="002022AB" w:rsidRPr="002B2F0B" w:rsidRDefault="002022AB" w:rsidP="00075179">
      <w:pPr>
        <w:spacing w:before="120" w:after="120" w:line="360" w:lineRule="auto"/>
        <w:ind w:left="851" w:hanging="851"/>
        <w:rPr>
          <w:szCs w:val="24"/>
          <w:lang w:eastAsia="fr-FR"/>
        </w:rPr>
      </w:pPr>
      <w:r w:rsidRPr="002B2F0B">
        <w:rPr>
          <w:szCs w:val="24"/>
          <w:lang w:eastAsia="fr-FR"/>
        </w:rPr>
        <w:t>▌</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2.</w:t>
      </w:r>
      <w:r w:rsidRPr="002B2F0B">
        <w:rPr>
          <w:b/>
          <w:bCs/>
          <w:i/>
          <w:iCs/>
          <w:szCs w:val="24"/>
          <w:lang w:eastAsia="fr-FR"/>
        </w:rPr>
        <w:tab/>
        <w:t xml:space="preserve">Lorsque le droit de l'État membre d'exécution prévoit que </w:t>
      </w:r>
      <w:r w:rsidRPr="002B2F0B">
        <w:rPr>
          <w:szCs w:val="24"/>
          <w:lang w:eastAsia="fr-FR"/>
        </w:rPr>
        <w:t>le</w:t>
      </w:r>
      <w:r w:rsidRPr="002B2F0B">
        <w:rPr>
          <w:b/>
          <w:bCs/>
          <w:i/>
          <w:iCs/>
          <w:szCs w:val="24"/>
          <w:lang w:eastAsia="fr-FR"/>
        </w:rPr>
        <w:t xml:space="preserve">s </w:t>
      </w:r>
      <w:r w:rsidRPr="002B2F0B">
        <w:rPr>
          <w:szCs w:val="24"/>
          <w:lang w:eastAsia="fr-FR"/>
        </w:rPr>
        <w:t>montant</w:t>
      </w:r>
      <w:r w:rsidRPr="002B2F0B">
        <w:rPr>
          <w:b/>
          <w:bCs/>
          <w:i/>
          <w:iCs/>
          <w:szCs w:val="24"/>
          <w:lang w:eastAsia="fr-FR"/>
        </w:rPr>
        <w:t xml:space="preserve">s </w:t>
      </w:r>
      <w:r w:rsidRPr="002B2F0B">
        <w:rPr>
          <w:szCs w:val="24"/>
          <w:lang w:eastAsia="fr-FR"/>
        </w:rPr>
        <w:t>visé</w:t>
      </w:r>
      <w:r w:rsidRPr="002B2F0B">
        <w:rPr>
          <w:b/>
          <w:bCs/>
          <w:i/>
          <w:iCs/>
          <w:szCs w:val="24"/>
          <w:lang w:eastAsia="fr-FR"/>
        </w:rPr>
        <w:t xml:space="preserve">s </w:t>
      </w:r>
      <w:r w:rsidRPr="002B2F0B">
        <w:rPr>
          <w:szCs w:val="24"/>
          <w:lang w:eastAsia="fr-FR"/>
        </w:rPr>
        <w:t>au paragraphe 1</w:t>
      </w:r>
      <w:r w:rsidRPr="002B2F0B">
        <w:rPr>
          <w:b/>
          <w:bCs/>
          <w:i/>
          <w:iCs/>
          <w:szCs w:val="24"/>
          <w:lang w:eastAsia="fr-FR"/>
        </w:rPr>
        <w:t xml:space="preserve"> sont exemptés de saisie </w:t>
      </w:r>
      <w:r w:rsidRPr="002B2F0B">
        <w:rPr>
          <w:szCs w:val="24"/>
          <w:lang w:eastAsia="fr-FR"/>
        </w:rPr>
        <w:t>sans</w:t>
      </w:r>
      <w:r w:rsidRPr="002B2F0B">
        <w:rPr>
          <w:b/>
          <w:bCs/>
          <w:i/>
          <w:iCs/>
          <w:szCs w:val="24"/>
          <w:lang w:eastAsia="fr-FR"/>
        </w:rPr>
        <w:t xml:space="preserve"> qu'aucune demande ne doive être formulée par le débiteur, l'organisme compétent pour exempter ces montants dans cet État membre exempte de saisie conservatoire, de sa propre initiative, les montants concernés. </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3.</w:t>
      </w:r>
      <w:r w:rsidRPr="002B2F0B">
        <w:rPr>
          <w:b/>
          <w:bCs/>
          <w:i/>
          <w:iCs/>
          <w:szCs w:val="24"/>
          <w:lang w:eastAsia="fr-FR"/>
        </w:rPr>
        <w:tab/>
        <w:t xml:space="preserve">Lorsque le droit de l'État membre d'exécution prévoit que les montants visés au paragraphe 1 du présent article sont exemptés de saisie à la demande du débiteur, ces montants sont exemptés de saisie conservatoire à la demande du débiteur comme le prévoit l'article 34, paragraphe 1, point a). </w:t>
      </w:r>
    </w:p>
    <w:p w:rsidR="002022AB" w:rsidRPr="002B2F0B" w:rsidRDefault="002022AB" w:rsidP="00075179">
      <w:pPr>
        <w:spacing w:before="120" w:after="120" w:line="360" w:lineRule="auto"/>
        <w:ind w:left="851" w:hanging="851"/>
        <w:jc w:val="both"/>
        <w:rPr>
          <w:i/>
          <w:iCs/>
          <w:szCs w:val="24"/>
          <w:lang w:eastAsia="fr-FR"/>
        </w:rPr>
      </w:pPr>
      <w:r w:rsidRPr="002B2F0B">
        <w:rPr>
          <w:i/>
          <w:iCs/>
          <w:szCs w:val="24"/>
          <w:lang w:eastAsia="fr-FR"/>
        </w:rPr>
        <w:t>▌</w:t>
      </w:r>
    </w:p>
    <w:p w:rsidR="002022AB" w:rsidRPr="002B2F0B" w:rsidRDefault="002022AB" w:rsidP="00075179">
      <w:pPr>
        <w:spacing w:before="120" w:after="120" w:line="360" w:lineRule="auto"/>
        <w:ind w:left="851" w:hanging="851"/>
        <w:jc w:val="both"/>
        <w:rPr>
          <w:i/>
          <w:iCs/>
          <w:szCs w:val="24"/>
          <w:lang w:eastAsia="fr-FR"/>
        </w:rPr>
      </w:pPr>
      <w:r w:rsidRPr="002B2F0B">
        <w:rPr>
          <w:i/>
          <w:iCs/>
          <w:szCs w:val="24"/>
          <w:lang w:eastAsia="fr-FR"/>
        </w:rPr>
        <w:br w:type="page"/>
      </w:r>
    </w:p>
    <w:p w:rsidR="002022AB" w:rsidRPr="002B2F0B" w:rsidRDefault="002022AB" w:rsidP="00075179">
      <w:pPr>
        <w:spacing w:before="120" w:after="120" w:line="360" w:lineRule="auto"/>
        <w:jc w:val="center"/>
        <w:rPr>
          <w:i/>
          <w:iCs/>
          <w:szCs w:val="24"/>
          <w:lang w:eastAsia="fr-FR" w:bidi="fr-FR"/>
        </w:rPr>
      </w:pPr>
      <w:r w:rsidRPr="002B2F0B">
        <w:rPr>
          <w:i/>
          <w:szCs w:val="24"/>
          <w:lang w:eastAsia="fr-FR" w:bidi="fr-FR"/>
        </w:rPr>
        <w:t xml:space="preserve">Article 32 </w:t>
      </w:r>
      <w:r w:rsidRPr="002B2F0B">
        <w:rPr>
          <w:i/>
          <w:iCs/>
          <w:szCs w:val="24"/>
          <w:lang w:eastAsia="fr-FR" w:bidi="fr-FR"/>
        </w:rPr>
        <w:br/>
      </w:r>
      <w:r w:rsidRPr="002B2F0B">
        <w:rPr>
          <w:i/>
          <w:szCs w:val="24"/>
          <w:lang w:eastAsia="fr-FR" w:bidi="fr-FR"/>
        </w:rPr>
        <w:t>Rang de l'ordonnance de saisie conservatoire</w:t>
      </w:r>
    </w:p>
    <w:p w:rsidR="002022AB" w:rsidRPr="002B2F0B" w:rsidRDefault="002022AB" w:rsidP="00075179">
      <w:pPr>
        <w:widowControl w:val="0"/>
        <w:spacing w:before="120" w:after="120" w:line="360" w:lineRule="auto"/>
        <w:rPr>
          <w:szCs w:val="24"/>
          <w:lang w:eastAsia="fr-FR"/>
        </w:rPr>
      </w:pPr>
      <w:r w:rsidRPr="002B2F0B">
        <w:rPr>
          <w:szCs w:val="24"/>
          <w:lang w:eastAsia="fr-FR"/>
        </w:rPr>
        <w:t>L'ordonnance de saisie conservatoire a le même rang, le cas échéant, qu'une ordonnance équivalente sur le plan national dans l'État membre d'exécution.</w:t>
      </w:r>
    </w:p>
    <w:p w:rsidR="002022AB" w:rsidRPr="002B2F0B" w:rsidRDefault="002022AB" w:rsidP="00075179">
      <w:pPr>
        <w:keepNext/>
        <w:tabs>
          <w:tab w:val="left" w:pos="-2977"/>
          <w:tab w:val="left" w:pos="-1701"/>
        </w:tabs>
        <w:spacing w:before="360" w:after="120" w:line="400" w:lineRule="exact"/>
        <w:jc w:val="center"/>
        <w:outlineLvl w:val="0"/>
        <w:rPr>
          <w:b/>
          <w:bCs/>
          <w:sz w:val="32"/>
          <w:szCs w:val="32"/>
          <w:lang w:eastAsia="fr-FR"/>
        </w:rPr>
      </w:pPr>
      <w:r w:rsidRPr="002B2F0B">
        <w:rPr>
          <w:b/>
          <w:sz w:val="32"/>
          <w:szCs w:val="24"/>
          <w:lang w:eastAsia="fr-FR"/>
        </w:rPr>
        <w:t xml:space="preserve">Chapitre 4 </w:t>
      </w:r>
      <w:r w:rsidRPr="002B2F0B">
        <w:rPr>
          <w:b/>
          <w:bCs/>
          <w:sz w:val="32"/>
          <w:szCs w:val="32"/>
          <w:lang w:eastAsia="fr-FR"/>
        </w:rPr>
        <w:br/>
      </w:r>
      <w:r w:rsidRPr="002B2F0B">
        <w:rPr>
          <w:b/>
          <w:sz w:val="32"/>
          <w:szCs w:val="24"/>
          <w:lang w:eastAsia="fr-FR"/>
        </w:rPr>
        <w:t xml:space="preserve">Voies de recours </w:t>
      </w:r>
    </w:p>
    <w:p w:rsidR="002022AB" w:rsidRPr="002B2F0B" w:rsidRDefault="002022AB" w:rsidP="00075179">
      <w:pPr>
        <w:keepNext/>
        <w:spacing w:before="120" w:after="120" w:line="400" w:lineRule="exact"/>
        <w:rPr>
          <w:i/>
          <w:szCs w:val="24"/>
          <w:lang w:eastAsia="fr-FR"/>
        </w:rPr>
      </w:pPr>
      <w:r w:rsidRPr="002B2F0B">
        <w:rPr>
          <w:i/>
          <w:szCs w:val="24"/>
          <w:lang w:eastAsia="fr-FR"/>
        </w:rPr>
        <w:t>▌</w:t>
      </w:r>
    </w:p>
    <w:p w:rsidR="002022AB" w:rsidRPr="002B2F0B" w:rsidRDefault="002022AB" w:rsidP="00075179">
      <w:pPr>
        <w:keepNext/>
        <w:spacing w:before="120" w:after="120" w:line="400" w:lineRule="exact"/>
        <w:jc w:val="center"/>
        <w:rPr>
          <w:b/>
          <w:bCs/>
          <w:i/>
          <w:szCs w:val="24"/>
          <w:lang w:eastAsia="fr-FR"/>
        </w:rPr>
      </w:pPr>
      <w:r w:rsidRPr="002B2F0B">
        <w:rPr>
          <w:b/>
          <w:bCs/>
          <w:i/>
          <w:szCs w:val="24"/>
          <w:lang w:eastAsia="fr-FR"/>
        </w:rPr>
        <w:t>Article 33</w:t>
      </w:r>
      <w:r w:rsidRPr="002B2F0B">
        <w:rPr>
          <w:b/>
          <w:bCs/>
          <w:i/>
          <w:szCs w:val="24"/>
          <w:lang w:eastAsia="fr-FR"/>
        </w:rPr>
        <w:br/>
        <w:t xml:space="preserve">Recours du débiteur contre l'ordonnance de saisie conservatoire </w:t>
      </w:r>
    </w:p>
    <w:p w:rsidR="002022AB" w:rsidRPr="002B2F0B" w:rsidRDefault="002022AB" w:rsidP="00075179">
      <w:pPr>
        <w:spacing w:before="120" w:after="120" w:line="400" w:lineRule="exact"/>
        <w:ind w:left="851" w:hanging="851"/>
        <w:rPr>
          <w:b/>
          <w:bCs/>
          <w:i/>
          <w:szCs w:val="24"/>
          <w:lang w:eastAsia="fr-FR"/>
        </w:rPr>
      </w:pPr>
      <w:r w:rsidRPr="002B2F0B">
        <w:rPr>
          <w:b/>
          <w:bCs/>
          <w:i/>
          <w:szCs w:val="24"/>
          <w:lang w:eastAsia="fr-FR"/>
        </w:rPr>
        <w:t>1.</w:t>
      </w:r>
      <w:r w:rsidRPr="002B2F0B">
        <w:rPr>
          <w:b/>
          <w:bCs/>
          <w:i/>
          <w:szCs w:val="24"/>
          <w:lang w:eastAsia="fr-FR"/>
        </w:rPr>
        <w:tab/>
        <w:t>Sur demande du débiteur adressée à la juridiction compétente de l'État membre d'origine, l'ordonnance de saisie conservatoire est révoquée ou, le cas échéant, modifiée au motif que:</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a)</w:t>
      </w:r>
      <w:r w:rsidRPr="002B2F0B">
        <w:rPr>
          <w:b/>
          <w:bCs/>
          <w:i/>
          <w:szCs w:val="24"/>
          <w:lang w:eastAsia="fr-FR"/>
        </w:rPr>
        <w:tab/>
        <w:t>il n'a pas été satisfait aux conditions ou exigences énoncées dans le présent règlement;</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br w:type="page"/>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b)</w:t>
      </w:r>
      <w:r w:rsidRPr="002B2F0B">
        <w:rPr>
          <w:b/>
          <w:bCs/>
          <w:i/>
          <w:szCs w:val="24"/>
          <w:lang w:eastAsia="fr-FR"/>
        </w:rPr>
        <w:tab/>
        <w:t>l'ordonnance, la déclaration en vertu de l'article 25 et/ou les autres documents visés à l'article 28, paragraphe 5, n'ont pas été signifiés ou notifiés au débiteur dans les quatorze jours à compter de la saisie conservatoire de son compte ou de ses comptes;</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c)</w:t>
      </w:r>
      <w:r w:rsidRPr="002B2F0B">
        <w:rPr>
          <w:b/>
          <w:bCs/>
          <w:i/>
          <w:szCs w:val="24"/>
          <w:lang w:eastAsia="fr-FR"/>
        </w:rPr>
        <w:tab/>
        <w:t>les documents qui ont été signifiés ou notifiés au débiteur conformément à l'article 28 ne satisfaisaient pas aux exigences linguistiques énoncées à l'article 49, paragraphe 1 ;</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d)</w:t>
      </w:r>
      <w:r w:rsidRPr="002B2F0B">
        <w:rPr>
          <w:b/>
          <w:bCs/>
          <w:i/>
          <w:szCs w:val="24"/>
          <w:lang w:eastAsia="fr-FR"/>
        </w:rPr>
        <w:tab/>
        <w:t xml:space="preserve">les montants faisant l'objet de la saisie conservatoire qui excédaient le montant précisé dans l'ordonnance n'ont pas été libérés conformément à l'article 27; </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e)</w:t>
      </w:r>
      <w:r w:rsidRPr="002B2F0B">
        <w:rPr>
          <w:b/>
          <w:bCs/>
          <w:i/>
          <w:szCs w:val="24"/>
          <w:lang w:eastAsia="fr-FR"/>
        </w:rPr>
        <w:tab/>
        <w:t xml:space="preserve">la créance dont le créancier cherchait à garantir le recouvrement à l'aide de l'ordonnance a été payée en totalité ou en partie; </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f)</w:t>
      </w:r>
      <w:r w:rsidRPr="002B2F0B">
        <w:rPr>
          <w:b/>
          <w:bCs/>
          <w:i/>
          <w:szCs w:val="24"/>
          <w:lang w:eastAsia="fr-FR"/>
        </w:rPr>
        <w:tab/>
        <w:t xml:space="preserve">une décision au fond a rejeté la demande relative à la créance dont le créancier cherchait à garantir le recouvrement à l'aide de l'ordonnance; </w:t>
      </w:r>
    </w:p>
    <w:p w:rsidR="002022AB" w:rsidRPr="002B2F0B" w:rsidRDefault="002022AB" w:rsidP="00075179">
      <w:pPr>
        <w:spacing w:before="120" w:after="120" w:line="400" w:lineRule="exact"/>
        <w:ind w:left="1418" w:hanging="567"/>
        <w:rPr>
          <w:b/>
          <w:bCs/>
          <w:i/>
          <w:szCs w:val="24"/>
          <w:lang w:eastAsia="fr-FR"/>
        </w:rPr>
      </w:pPr>
      <w:r w:rsidRPr="002B2F0B">
        <w:rPr>
          <w:b/>
          <w:bCs/>
          <w:i/>
          <w:szCs w:val="24"/>
          <w:lang w:eastAsia="fr-FR"/>
        </w:rPr>
        <w:t>g)</w:t>
      </w:r>
      <w:r w:rsidRPr="002B2F0B">
        <w:rPr>
          <w:b/>
          <w:bCs/>
          <w:i/>
          <w:szCs w:val="24"/>
          <w:lang w:eastAsia="fr-FR"/>
        </w:rPr>
        <w:tab/>
        <w:t>la décision au fond ou la transaction judiciaire ou l'acte authentique, dont le créancier cherchait à garantir l'exécution à l'aide de l'ordonnance, a été, selon le cas, écarté ou annulé.</w:t>
      </w:r>
    </w:p>
    <w:p w:rsidR="002022AB" w:rsidRPr="002B2F0B" w:rsidRDefault="002022AB" w:rsidP="00075179">
      <w:pPr>
        <w:widowControl w:val="0"/>
        <w:jc w:val="right"/>
        <w:rPr>
          <w:b/>
          <w:bCs/>
          <w:i/>
          <w:szCs w:val="24"/>
          <w:lang w:eastAsia="fr-FR"/>
        </w:rPr>
      </w:pPr>
      <w:r w:rsidRPr="002B2F0B">
        <w:rPr>
          <w:b/>
          <w:bCs/>
          <w:i/>
          <w:szCs w:val="24"/>
          <w:lang w:eastAsia="fr-FR"/>
        </w:rPr>
        <w:br w:type="page"/>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2.</w:t>
      </w:r>
      <w:r w:rsidRPr="002B2F0B">
        <w:rPr>
          <w:b/>
          <w:bCs/>
          <w:i/>
          <w:szCs w:val="24"/>
          <w:lang w:eastAsia="fr-FR"/>
        </w:rPr>
        <w:tab/>
        <w:t>Sur demande du débiteur adressée à la juridiction compétente de l'État membre d'origine, la décision concernant la garantie en vertu de l'article 12 est réexaminée au motif que les conditions ou exigences dudit article n’ont pas été remplies.</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ab/>
        <w:t>Si, sur la base de ce recours, la juridiction exige du créancier qu'il constitue une garantie ou une garantie complémentaire, la première phrase de l'article 12, paragraphe 3, s'applique le cas échéant, et la juridiction indique que l'ordonnance de saisie conservatoire sera révoquée ou modifiée si la garantie (complémentaire) requise n'est pas constituée dans le délai qu'elle précise.</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3.</w:t>
      </w:r>
      <w:r w:rsidRPr="002B2F0B">
        <w:rPr>
          <w:b/>
          <w:bCs/>
          <w:i/>
          <w:szCs w:val="24"/>
          <w:lang w:eastAsia="fr-FR"/>
        </w:rPr>
        <w:tab/>
        <w:t xml:space="preserve">Il est fait droit au recours introduit au titre du paragraphe 1, point b), sauf s'il est remédié à l'absence de signification ou de notification dans les quatorze jours à compter de la date à laquelle le créancier a été informé de la demande de recours du débiteur en vertu du paragraphe 1, point b).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ab/>
        <w:t xml:space="preserve">Sauf s’il a déjà été remédié à l’absence de signification ou de notification par d'autres voies, il est considéré, aux fins d'évaluer s'il doit ou non être fait droit au recours en vertu du paragraphe 1, point b), qu'il a été remédié à l'absence de signification ou de notification: </w:t>
      </w:r>
    </w:p>
    <w:p w:rsidR="002022AB" w:rsidRPr="002B2F0B" w:rsidRDefault="002022AB" w:rsidP="00075179">
      <w:pPr>
        <w:spacing w:before="120" w:after="120" w:line="360" w:lineRule="auto"/>
        <w:ind w:left="1418" w:hanging="567"/>
        <w:rPr>
          <w:b/>
          <w:bCs/>
          <w:i/>
          <w:szCs w:val="24"/>
          <w:lang w:eastAsia="fr-FR"/>
        </w:rPr>
      </w:pPr>
      <w:r w:rsidRPr="002B2F0B">
        <w:rPr>
          <w:b/>
          <w:bCs/>
          <w:i/>
          <w:szCs w:val="24"/>
          <w:lang w:eastAsia="fr-FR"/>
        </w:rPr>
        <w:t>a)</w:t>
      </w:r>
      <w:r w:rsidRPr="002B2F0B">
        <w:rPr>
          <w:b/>
          <w:bCs/>
          <w:i/>
          <w:szCs w:val="24"/>
          <w:lang w:eastAsia="fr-FR"/>
        </w:rPr>
        <w:tab/>
        <w:t xml:space="preserve">si le créancier demande à l'organisme responsable des significations ou des notifications au titre du droit de l'État membre d'origine de signifier ou de notifier les documents au débiteur; ou </w:t>
      </w:r>
    </w:p>
    <w:p w:rsidR="002022AB" w:rsidRPr="002B2F0B" w:rsidRDefault="002022AB" w:rsidP="00075179">
      <w:pPr>
        <w:spacing w:before="120" w:after="120" w:line="360" w:lineRule="auto"/>
        <w:ind w:left="1418" w:hanging="567"/>
        <w:rPr>
          <w:b/>
          <w:bCs/>
          <w:i/>
          <w:szCs w:val="24"/>
          <w:lang w:eastAsia="fr-FR"/>
        </w:rPr>
      </w:pPr>
      <w:r w:rsidRPr="002B2F0B">
        <w:rPr>
          <w:b/>
          <w:bCs/>
          <w:i/>
          <w:szCs w:val="24"/>
          <w:lang w:eastAsia="fr-FR"/>
        </w:rPr>
        <w:br w:type="page"/>
        <w:t>b)</w:t>
      </w:r>
      <w:r w:rsidRPr="002B2F0B">
        <w:rPr>
          <w:b/>
          <w:bCs/>
          <w:i/>
          <w:szCs w:val="24"/>
          <w:lang w:eastAsia="fr-FR"/>
        </w:rPr>
        <w:tab/>
        <w:t xml:space="preserve">lorsque le débiteur a indiqué dans sa demande de recours qu'il accepte d'aller chercher les documents au siège de la juridiction de l'État membre d'origine et lorsqu'il appartenait au créancier de fournir les traductions, si le créancier transmet à ladite juridiction les traductions requises en vertu de l'article 49, paragraphe 1. </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t>À la demande du créancier en vertu du point a) du présent paragraphe, l'organisme responsable des significations ou notifications au titre du droit de l'État membre d'origine signifie ou notifie sans tarder les documents au débiteur par courrier recommandé avec accusé de réception à l'adresse indiquée par le débiteur conformément au paragraphe 5 du présent article.</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t xml:space="preserve">Lorsqu'il appartenait au créancier de procéder à la signification ou à la notification des documents visés à l'article 28, il ne peut être remédié à une absence de signification ou de notification que si le créancier démontre qu'il avait pris toutes les mesures qu'il était tenu de prendre pour que la signification ou la notification initiale des documents soit effectuée.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4.</w:t>
      </w:r>
      <w:r w:rsidRPr="002B2F0B">
        <w:rPr>
          <w:b/>
          <w:bCs/>
          <w:i/>
          <w:szCs w:val="24"/>
          <w:lang w:eastAsia="fr-FR"/>
        </w:rPr>
        <w:tab/>
        <w:t>Il est fait droit au recours introduit au titre du paragraphe 1, point c), sauf si le créancier fournit au débiteur les traductions exigées en vertu du présent règlement dans les quatorze jours à compter de la date à laquelle le créancier a été informé de la demande de recours du débiteur en vertu du paragraphe 1, point c).</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t>Le paragraphe 3, deuxième et troisième alinéas, est applicable le cas échéant.</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br w:type="page"/>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5.</w:t>
      </w:r>
      <w:r w:rsidRPr="002B2F0B">
        <w:rPr>
          <w:b/>
          <w:bCs/>
          <w:i/>
          <w:szCs w:val="24"/>
          <w:lang w:eastAsia="fr-FR"/>
        </w:rPr>
        <w:tab/>
        <w:t>Dans sa demande de recours adressée au titre du paragraphe 1, points b) et c), le débiteur indique une adresse à laquelle les documents et les traductions visés à l'article 28 peuvent être envoyés conformément aux paragraphes 3 et 4 du présent article ou, à titre d’alternative, il indique qu'il accepte d'aller chercher ces documents au siège de la juridiction de l'État membre d'origine.</w:t>
      </w:r>
    </w:p>
    <w:p w:rsidR="002022AB" w:rsidRPr="002B2F0B" w:rsidRDefault="002022AB" w:rsidP="00075179">
      <w:pPr>
        <w:spacing w:before="120" w:after="120" w:line="360" w:lineRule="auto"/>
        <w:ind w:left="850"/>
        <w:jc w:val="center"/>
        <w:rPr>
          <w:i/>
          <w:iCs/>
          <w:szCs w:val="24"/>
          <w:lang w:eastAsia="fr-FR"/>
        </w:rPr>
      </w:pPr>
      <w:r w:rsidRPr="002B2F0B">
        <w:rPr>
          <w:i/>
          <w:iCs/>
          <w:szCs w:val="24"/>
          <w:lang w:eastAsia="fr-FR"/>
        </w:rPr>
        <w:t xml:space="preserve">Article 34 </w:t>
      </w:r>
      <w:r w:rsidRPr="002B2F0B">
        <w:rPr>
          <w:i/>
          <w:iCs/>
          <w:szCs w:val="24"/>
          <w:lang w:eastAsia="fr-FR"/>
        </w:rPr>
        <w:br/>
        <w:t xml:space="preserve">Recours du </w:t>
      </w:r>
      <w:r w:rsidRPr="002B2F0B">
        <w:rPr>
          <w:b/>
          <w:bCs/>
          <w:i/>
          <w:iCs/>
          <w:szCs w:val="24"/>
          <w:lang w:eastAsia="fr-FR"/>
        </w:rPr>
        <w:t>débiteur contre l'exécution de l'ordonnance de saisie conservatoire</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r>
      <w:r w:rsidRPr="002B2F0B">
        <w:rPr>
          <w:b/>
          <w:bCs/>
          <w:i/>
          <w:iCs/>
          <w:szCs w:val="24"/>
          <w:lang w:eastAsia="fr-FR"/>
        </w:rPr>
        <w:t>Nonobstant les articles 33 et 35, sur demande du débiteur adressée à la juridiction compétente ou, lorsque le droit national le prévoit, à l'autorité d'exécution compétente de l'État membre d'exécution, l'exécution de l'ordonnance de saisie conservatoire dans ledit État membre d'exécution:</w:t>
      </w:r>
    </w:p>
    <w:p w:rsidR="002022AB" w:rsidRPr="002B2F0B" w:rsidRDefault="002022AB" w:rsidP="00075179">
      <w:pPr>
        <w:spacing w:before="120" w:after="120" w:line="360" w:lineRule="auto"/>
        <w:ind w:left="1418" w:hanging="567"/>
        <w:rPr>
          <w:szCs w:val="24"/>
          <w:lang w:eastAsia="fr-FR"/>
        </w:rPr>
      </w:pPr>
      <w:r w:rsidRPr="002B2F0B">
        <w:rPr>
          <w:szCs w:val="24"/>
          <w:lang w:eastAsia="fr-FR"/>
        </w:rPr>
        <w:t>a)</w:t>
      </w:r>
      <w:r w:rsidRPr="002B2F0B">
        <w:rPr>
          <w:szCs w:val="24"/>
          <w:lang w:eastAsia="fr-FR"/>
        </w:rPr>
        <w:tab/>
      </w:r>
      <w:r w:rsidRPr="002B2F0B">
        <w:rPr>
          <w:b/>
          <w:bCs/>
          <w:i/>
          <w:iCs/>
          <w:szCs w:val="24"/>
          <w:lang w:eastAsia="fr-FR"/>
        </w:rPr>
        <w:t>est</w:t>
      </w:r>
      <w:r w:rsidRPr="002B2F0B">
        <w:rPr>
          <w:szCs w:val="24"/>
          <w:lang w:eastAsia="fr-FR"/>
        </w:rPr>
        <w:t xml:space="preserve"> limitée, au motif que certains montants </w:t>
      </w:r>
      <w:r w:rsidRPr="002B2F0B">
        <w:rPr>
          <w:b/>
          <w:bCs/>
          <w:i/>
          <w:iCs/>
          <w:szCs w:val="24"/>
          <w:lang w:eastAsia="fr-FR"/>
        </w:rPr>
        <w:t>détenus</w:t>
      </w:r>
      <w:r w:rsidRPr="002B2F0B">
        <w:rPr>
          <w:szCs w:val="24"/>
          <w:lang w:eastAsia="fr-FR"/>
        </w:rPr>
        <w:t xml:space="preserve"> sur le compte </w:t>
      </w:r>
      <w:r w:rsidRPr="002B2F0B">
        <w:rPr>
          <w:b/>
          <w:bCs/>
          <w:i/>
          <w:iCs/>
          <w:szCs w:val="24"/>
          <w:lang w:eastAsia="fr-FR"/>
        </w:rPr>
        <w:t>devraient être</w:t>
      </w:r>
      <w:r w:rsidRPr="002B2F0B">
        <w:rPr>
          <w:szCs w:val="24"/>
          <w:lang w:eastAsia="fr-FR"/>
        </w:rPr>
        <w:t xml:space="preserve"> exemptés </w:t>
      </w:r>
      <w:r w:rsidRPr="002B2F0B">
        <w:rPr>
          <w:b/>
          <w:bCs/>
          <w:i/>
          <w:iCs/>
          <w:szCs w:val="24"/>
          <w:lang w:eastAsia="fr-FR"/>
        </w:rPr>
        <w:t>de saisie conformément à l'article 31, paragraphe 3, ou</w:t>
      </w:r>
      <w:r w:rsidRPr="002B2F0B">
        <w:rPr>
          <w:szCs w:val="24"/>
          <w:lang w:eastAsia="fr-FR"/>
        </w:rPr>
        <w:t xml:space="preserve"> </w:t>
      </w:r>
      <w:r w:rsidRPr="002B2F0B">
        <w:rPr>
          <w:b/>
          <w:bCs/>
          <w:i/>
          <w:iCs/>
          <w:szCs w:val="24"/>
          <w:lang w:eastAsia="fr-FR"/>
        </w:rPr>
        <w:t xml:space="preserve">que des montants exemptés de saisie </w:t>
      </w:r>
      <w:r w:rsidRPr="002B2F0B">
        <w:rPr>
          <w:szCs w:val="24"/>
          <w:lang w:eastAsia="fr-FR"/>
        </w:rPr>
        <w:t xml:space="preserve">n'ont pas, ou pas correctement, été pris en compte </w:t>
      </w:r>
      <w:r w:rsidRPr="002B2F0B">
        <w:rPr>
          <w:b/>
          <w:bCs/>
          <w:i/>
          <w:iCs/>
          <w:szCs w:val="24"/>
          <w:lang w:eastAsia="fr-FR"/>
        </w:rPr>
        <w:t>dans la mise en œuvre de l'ordonnance conformément</w:t>
      </w:r>
      <w:r w:rsidRPr="002B2F0B">
        <w:rPr>
          <w:szCs w:val="24"/>
          <w:lang w:eastAsia="fr-FR"/>
        </w:rPr>
        <w:t xml:space="preserve"> à l'article 31, </w:t>
      </w:r>
      <w:r w:rsidRPr="002B2F0B">
        <w:rPr>
          <w:b/>
          <w:bCs/>
          <w:i/>
          <w:iCs/>
          <w:szCs w:val="24"/>
          <w:lang w:eastAsia="fr-FR"/>
        </w:rPr>
        <w:t>paragraphe 2</w:t>
      </w:r>
      <w:r w:rsidRPr="002B2F0B">
        <w:rPr>
          <w:szCs w:val="24"/>
          <w:lang w:eastAsia="fr-FR"/>
        </w:rPr>
        <w:t>; ou</w:t>
      </w:r>
    </w:p>
    <w:p w:rsidR="002022AB" w:rsidRPr="002B2F0B" w:rsidRDefault="002022AB" w:rsidP="00075179">
      <w:pPr>
        <w:spacing w:before="120" w:after="120" w:line="360" w:lineRule="auto"/>
        <w:ind w:left="1418" w:hanging="567"/>
        <w:rPr>
          <w:szCs w:val="24"/>
          <w:lang w:eastAsia="fr-FR"/>
        </w:rPr>
      </w:pPr>
      <w:r w:rsidRPr="002B2F0B">
        <w:rPr>
          <w:szCs w:val="24"/>
          <w:lang w:eastAsia="fr-FR"/>
        </w:rPr>
        <w:br w:type="page"/>
      </w:r>
    </w:p>
    <w:p w:rsidR="002022AB" w:rsidRPr="002B2F0B" w:rsidRDefault="002022AB" w:rsidP="00075179">
      <w:pPr>
        <w:spacing w:before="120" w:after="120" w:line="360" w:lineRule="auto"/>
        <w:ind w:left="1418" w:hanging="567"/>
        <w:jc w:val="both"/>
        <w:rPr>
          <w:szCs w:val="24"/>
          <w:lang w:eastAsia="fr-FR"/>
        </w:rPr>
      </w:pPr>
      <w:r w:rsidRPr="002B2F0B">
        <w:rPr>
          <w:szCs w:val="24"/>
          <w:lang w:eastAsia="fr-FR"/>
        </w:rPr>
        <w:t>b)</w:t>
      </w:r>
      <w:r w:rsidRPr="002B2F0B">
        <w:rPr>
          <w:szCs w:val="24"/>
          <w:lang w:eastAsia="fr-FR"/>
        </w:rPr>
        <w:tab/>
      </w:r>
      <w:r w:rsidRPr="002B2F0B">
        <w:rPr>
          <w:b/>
          <w:bCs/>
          <w:i/>
          <w:iCs/>
          <w:szCs w:val="24"/>
          <w:lang w:eastAsia="fr-FR"/>
        </w:rPr>
        <w:t>prend</w:t>
      </w:r>
      <w:r w:rsidRPr="002B2F0B">
        <w:rPr>
          <w:szCs w:val="24"/>
          <w:lang w:eastAsia="fr-FR"/>
        </w:rPr>
        <w:t xml:space="preserve"> fin au motif que:</w:t>
      </w:r>
    </w:p>
    <w:p w:rsidR="002022AB" w:rsidRPr="002B2F0B" w:rsidRDefault="002022AB" w:rsidP="00075179">
      <w:pPr>
        <w:spacing w:before="120" w:after="120" w:line="360" w:lineRule="auto"/>
        <w:ind w:left="1985" w:hanging="567"/>
        <w:rPr>
          <w:szCs w:val="24"/>
          <w:lang w:eastAsia="fr-FR"/>
        </w:rPr>
      </w:pPr>
      <w:r w:rsidRPr="002B2F0B">
        <w:rPr>
          <w:szCs w:val="24"/>
          <w:lang w:eastAsia="fr-FR"/>
        </w:rPr>
        <w:t>▌</w:t>
      </w:r>
    </w:p>
    <w:p w:rsidR="002022AB" w:rsidRPr="002B2F0B" w:rsidRDefault="002022AB" w:rsidP="00075179">
      <w:pPr>
        <w:spacing w:before="120" w:after="120" w:line="360" w:lineRule="auto"/>
        <w:ind w:left="1985" w:hanging="567"/>
        <w:rPr>
          <w:szCs w:val="24"/>
          <w:lang w:eastAsia="fr-FR"/>
        </w:rPr>
      </w:pPr>
      <w:r w:rsidRPr="002B2F0B">
        <w:rPr>
          <w:b/>
          <w:bCs/>
          <w:i/>
          <w:iCs/>
          <w:szCs w:val="24"/>
          <w:lang w:eastAsia="fr-FR"/>
        </w:rPr>
        <w:t>i</w:t>
      </w:r>
      <w:r w:rsidRPr="002B2F0B">
        <w:rPr>
          <w:szCs w:val="24"/>
          <w:lang w:eastAsia="fr-FR"/>
        </w:rPr>
        <w:t xml:space="preserve">) </w:t>
      </w:r>
      <w:r w:rsidRPr="002B2F0B">
        <w:rPr>
          <w:szCs w:val="24"/>
          <w:lang w:eastAsia="fr-FR"/>
        </w:rPr>
        <w:tab/>
        <w:t xml:space="preserve">le compte faisant l’objet de la saisie conservatoire </w:t>
      </w:r>
      <w:r w:rsidRPr="002B2F0B">
        <w:rPr>
          <w:b/>
          <w:bCs/>
          <w:i/>
          <w:iCs/>
          <w:szCs w:val="24"/>
          <w:lang w:eastAsia="fr-FR"/>
        </w:rPr>
        <w:t>est exclu du champ d'application du présent règlement en vertu de l'article 2, paragraphes 3 et 4</w:t>
      </w:r>
      <w:r w:rsidRPr="002B2F0B">
        <w:rPr>
          <w:szCs w:val="24"/>
          <w:lang w:eastAsia="fr-FR"/>
        </w:rPr>
        <w:t xml:space="preserve">; </w:t>
      </w:r>
    </w:p>
    <w:p w:rsidR="002022AB" w:rsidRPr="002B2F0B" w:rsidRDefault="002022AB" w:rsidP="00075179">
      <w:pPr>
        <w:spacing w:before="120" w:after="120" w:line="360" w:lineRule="auto"/>
        <w:ind w:left="1985" w:hanging="567"/>
        <w:rPr>
          <w:szCs w:val="24"/>
          <w:lang w:eastAsia="fr-FR"/>
        </w:rPr>
      </w:pPr>
      <w:r w:rsidRPr="002B2F0B">
        <w:rPr>
          <w:b/>
          <w:bCs/>
          <w:i/>
          <w:iCs/>
          <w:szCs w:val="24"/>
          <w:lang w:eastAsia="fr-FR"/>
        </w:rPr>
        <w:t>ii</w:t>
      </w:r>
      <w:r w:rsidRPr="002B2F0B">
        <w:rPr>
          <w:szCs w:val="24"/>
          <w:lang w:eastAsia="fr-FR"/>
        </w:rPr>
        <w:t xml:space="preserve">) </w:t>
      </w:r>
      <w:r w:rsidRPr="002B2F0B">
        <w:rPr>
          <w:szCs w:val="24"/>
          <w:lang w:eastAsia="fr-FR"/>
        </w:rPr>
        <w:tab/>
      </w:r>
      <w:r w:rsidRPr="002B2F0B">
        <w:rPr>
          <w:b/>
          <w:bCs/>
          <w:i/>
          <w:iCs/>
          <w:szCs w:val="24"/>
          <w:lang w:eastAsia="fr-FR"/>
        </w:rPr>
        <w:t>l'exécution de la décision, de la transaction judiciaire ou de l'acte authentique, que le créancier cherchait à garantir à l'aide de l'ordonnance, a été refusée dans l'État membre d'exécution;</w:t>
      </w:r>
      <w:r w:rsidRPr="002B2F0B">
        <w:rPr>
          <w:szCs w:val="24"/>
          <w:lang w:eastAsia="fr-FR"/>
        </w:rPr>
        <w:t xml:space="preserve"> </w:t>
      </w:r>
    </w:p>
    <w:p w:rsidR="002022AB" w:rsidRPr="002B2F0B" w:rsidRDefault="002022AB" w:rsidP="00075179">
      <w:pPr>
        <w:spacing w:before="120" w:after="120" w:line="360" w:lineRule="auto"/>
        <w:ind w:left="1985" w:hanging="567"/>
        <w:rPr>
          <w:b/>
          <w:bCs/>
          <w:i/>
          <w:iCs/>
          <w:szCs w:val="24"/>
          <w:lang w:eastAsia="fr-FR"/>
        </w:rPr>
      </w:pPr>
      <w:r w:rsidRPr="002B2F0B">
        <w:rPr>
          <w:b/>
          <w:bCs/>
          <w:i/>
          <w:iCs/>
          <w:szCs w:val="24"/>
          <w:lang w:eastAsia="fr-FR"/>
        </w:rPr>
        <w:t>iii)</w:t>
      </w:r>
      <w:r w:rsidRPr="002B2F0B">
        <w:rPr>
          <w:b/>
          <w:bCs/>
          <w:i/>
          <w:iCs/>
          <w:szCs w:val="24"/>
          <w:lang w:eastAsia="fr-FR"/>
        </w:rPr>
        <w:tab/>
        <w:t xml:space="preserve">la force exécutoire de la décision, dont le créancier cherchait à garantir l'exécution à l'aide de l'ordonnance, a été suspendue dans l'État membre d'origine; ou </w:t>
      </w:r>
    </w:p>
    <w:p w:rsidR="002022AB" w:rsidRPr="002B2F0B" w:rsidRDefault="002022AB" w:rsidP="00075179">
      <w:pPr>
        <w:spacing w:before="120" w:after="120" w:line="360" w:lineRule="auto"/>
        <w:ind w:left="1985" w:hanging="567"/>
        <w:rPr>
          <w:b/>
          <w:bCs/>
          <w:i/>
          <w:iCs/>
          <w:szCs w:val="24"/>
          <w:lang w:eastAsia="fr-FR"/>
        </w:rPr>
      </w:pPr>
      <w:r w:rsidRPr="002B2F0B">
        <w:rPr>
          <w:b/>
          <w:bCs/>
          <w:i/>
          <w:iCs/>
          <w:szCs w:val="24"/>
          <w:lang w:eastAsia="fr-FR"/>
        </w:rPr>
        <w:t>iv)</w:t>
      </w:r>
      <w:r w:rsidRPr="002B2F0B">
        <w:rPr>
          <w:b/>
          <w:bCs/>
          <w:i/>
          <w:iCs/>
          <w:szCs w:val="24"/>
          <w:lang w:eastAsia="fr-FR"/>
        </w:rPr>
        <w:tab/>
        <w:t>les points b), c), d), e), f) ou g) de l'article 33, paragraphe 1, s'appliquent. L'article 33, paragraphes 3, 4 et 5, s'applique, le cas échéant.</w:t>
      </w:r>
    </w:p>
    <w:p w:rsidR="002022AB" w:rsidRPr="002B2F0B" w:rsidRDefault="002022AB" w:rsidP="00075179">
      <w:pPr>
        <w:spacing w:before="120" w:after="120" w:line="360" w:lineRule="auto"/>
        <w:ind w:left="2835"/>
        <w:rPr>
          <w:i/>
          <w:iCs/>
          <w:sz w:val="2"/>
          <w:szCs w:val="2"/>
          <w:lang w:eastAsia="fr-FR"/>
        </w:rPr>
      </w:pPr>
    </w:p>
    <w:p w:rsidR="002022AB" w:rsidRPr="002B2F0B" w:rsidRDefault="002022AB" w:rsidP="00075179">
      <w:pPr>
        <w:spacing w:before="120" w:after="120" w:line="360" w:lineRule="auto"/>
        <w:ind w:left="851" w:hanging="851"/>
        <w:jc w:val="both"/>
        <w:rPr>
          <w:szCs w:val="24"/>
          <w:lang w:eastAsia="fr-FR"/>
        </w:rPr>
      </w:pPr>
      <w:r w:rsidRPr="002B2F0B">
        <w:rPr>
          <w:szCs w:val="24"/>
          <w:lang w:eastAsia="fr-FR"/>
        </w:rPr>
        <w:br w:type="page"/>
        <w:t>▌</w:t>
      </w:r>
    </w:p>
    <w:p w:rsidR="002022AB" w:rsidRPr="002B2F0B" w:rsidRDefault="002022AB" w:rsidP="00075179">
      <w:pPr>
        <w:spacing w:before="120" w:after="120" w:line="360" w:lineRule="auto"/>
        <w:ind w:left="851" w:hanging="851"/>
        <w:rPr>
          <w:szCs w:val="24"/>
          <w:lang w:eastAsia="fr-FR"/>
        </w:rPr>
      </w:pPr>
      <w:r w:rsidRPr="002B2F0B">
        <w:rPr>
          <w:b/>
          <w:bCs/>
          <w:i/>
          <w:iCs/>
          <w:szCs w:val="24"/>
          <w:lang w:eastAsia="fr-FR"/>
        </w:rPr>
        <w:t>2.</w:t>
      </w:r>
      <w:r w:rsidRPr="002B2F0B">
        <w:rPr>
          <w:b/>
          <w:bCs/>
          <w:i/>
          <w:iCs/>
          <w:szCs w:val="24"/>
          <w:lang w:eastAsia="fr-FR"/>
        </w:rPr>
        <w:tab/>
        <w:t>Sur demande du débiteur adressée à la juridiction compétente de l'État membre d'exécution, l'exécution de l'ordonnance de saisie conservatoire dans ledit État membre prend fin si elle est manifestement contraire à l'ordre public de l'État membre d'exécution</w:t>
      </w:r>
      <w:r w:rsidRPr="002B2F0B">
        <w:rPr>
          <w:szCs w:val="24"/>
          <w:lang w:eastAsia="fr-FR"/>
        </w:rPr>
        <w:t>.</w:t>
      </w:r>
    </w:p>
    <w:p w:rsidR="002022AB" w:rsidRPr="002B2F0B" w:rsidRDefault="002022AB" w:rsidP="00075179">
      <w:pPr>
        <w:spacing w:before="120" w:after="120" w:line="360" w:lineRule="auto"/>
        <w:ind w:left="851" w:hanging="851"/>
        <w:jc w:val="both"/>
        <w:rPr>
          <w:szCs w:val="24"/>
          <w:lang w:eastAsia="fr-FR"/>
        </w:rPr>
      </w:pPr>
      <w:r w:rsidRPr="002B2F0B">
        <w:rPr>
          <w:szCs w:val="24"/>
          <w:lang w:eastAsia="fr-FR"/>
        </w:rPr>
        <w:t>▌</w:t>
      </w:r>
    </w:p>
    <w:p w:rsidR="002022AB" w:rsidRPr="002B2F0B" w:rsidRDefault="002022AB" w:rsidP="00075179">
      <w:pPr>
        <w:spacing w:before="120" w:after="120" w:line="360" w:lineRule="auto"/>
        <w:jc w:val="center"/>
        <w:rPr>
          <w:b/>
          <w:bCs/>
          <w:i/>
          <w:szCs w:val="24"/>
          <w:lang w:eastAsia="fr-FR"/>
        </w:rPr>
      </w:pPr>
      <w:r w:rsidRPr="002B2F0B">
        <w:rPr>
          <w:b/>
          <w:bCs/>
          <w:i/>
          <w:szCs w:val="24"/>
          <w:lang w:eastAsia="fr-FR"/>
        </w:rPr>
        <w:t xml:space="preserve">Article 35 </w:t>
      </w:r>
      <w:r w:rsidRPr="002B2F0B">
        <w:rPr>
          <w:b/>
          <w:bCs/>
          <w:i/>
          <w:szCs w:val="24"/>
          <w:lang w:eastAsia="fr-FR"/>
        </w:rPr>
        <w:br/>
        <w:t>Autres recours ouverts au débiteur et au créancier</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1.</w:t>
      </w:r>
      <w:r w:rsidRPr="002B2F0B">
        <w:rPr>
          <w:b/>
          <w:bCs/>
          <w:i/>
          <w:szCs w:val="24"/>
          <w:lang w:eastAsia="fr-FR"/>
        </w:rPr>
        <w:tab/>
        <w:t xml:space="preserve">Le débiteur ou le créancier peut demander à la juridiction qui a délivré l'ordonnance de saisie conservatoire de modifier ou de révoquer l'ordonnance au motif que les circonstances sur la base desquelles l'ordonnance a été délivrée ont changé.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br w:type="page"/>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2.</w:t>
      </w:r>
      <w:r w:rsidRPr="002B2F0B">
        <w:rPr>
          <w:b/>
          <w:bCs/>
          <w:i/>
          <w:szCs w:val="24"/>
          <w:lang w:eastAsia="fr-FR"/>
        </w:rPr>
        <w:tab/>
        <w:t>La juridiction qui a délivré l'ordonnance de saisie conservatoire peut aussi, de sa propre initiative, lorsque le droit de l'État membre d'origine le permet, modifier ou révoquer l'ordonnance au motif que les circonstances ont changé.</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3.</w:t>
      </w:r>
      <w:r w:rsidRPr="002B2F0B">
        <w:rPr>
          <w:b/>
          <w:bCs/>
          <w:i/>
          <w:szCs w:val="24"/>
          <w:lang w:eastAsia="fr-FR"/>
        </w:rPr>
        <w:tab/>
        <w:t>Le débiteur et le créancier peuvent, au motif qu'ils ont accepté de régler la créance, demander conjointement à la juridiction qui a délivré l'ordonnance de saisie conservatoire de révoquer ou de modifier celle</w:t>
      </w:r>
      <w:r w:rsidRPr="002B2F0B">
        <w:rPr>
          <w:b/>
          <w:bCs/>
          <w:i/>
          <w:szCs w:val="24"/>
          <w:lang w:eastAsia="fr-FR"/>
        </w:rPr>
        <w:noBreakHyphen/>
        <w:t>ci ou à la juridiction compétente de l'État membre d'exécution ou, lorsque le droit national le prévoit, à l'autorité d'exécution compétente de cet État membre de mettre fin à l'exécution de l'ordonnance ou de limiter ladite exécution.</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4.</w:t>
      </w:r>
      <w:r w:rsidRPr="002B2F0B">
        <w:rPr>
          <w:b/>
          <w:bCs/>
          <w:i/>
          <w:szCs w:val="24"/>
          <w:lang w:eastAsia="fr-FR"/>
        </w:rPr>
        <w:tab/>
        <w:t xml:space="preserve">Le créancier peut demander à la juridiction compétente de l'État membre d'exécution ou, lorsque le droit national le prévoit, à l'autorité d'exécution compétente de cet État membre de modifier l'exécution de l'ordonnance de saisie conservatoire de manière à ajuster l'exemption appliquée dans cet État membre en vertu de l'article 31, au motif que d'autres exemptions ont déjà été appliquées pour un montant suffisamment élevé par rapport à un ou plusieurs comptes tenus dans un ou plusieurs autres États membres et qu'un ajustement est dès lors approprié.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br w:type="page"/>
      </w:r>
    </w:p>
    <w:p w:rsidR="002022AB" w:rsidRPr="002B2F0B" w:rsidRDefault="002022AB" w:rsidP="00075179">
      <w:pPr>
        <w:spacing w:before="120" w:after="120" w:line="360" w:lineRule="auto"/>
        <w:jc w:val="center"/>
        <w:rPr>
          <w:b/>
          <w:bCs/>
          <w:i/>
          <w:szCs w:val="24"/>
          <w:lang w:eastAsia="fr-FR"/>
        </w:rPr>
      </w:pPr>
      <w:r w:rsidRPr="002B2F0B">
        <w:rPr>
          <w:b/>
          <w:bCs/>
          <w:i/>
          <w:szCs w:val="24"/>
          <w:lang w:eastAsia="fr-FR"/>
        </w:rPr>
        <w:t xml:space="preserve">Article 36 </w:t>
      </w:r>
      <w:r w:rsidRPr="002B2F0B">
        <w:rPr>
          <w:b/>
          <w:bCs/>
          <w:i/>
          <w:szCs w:val="24"/>
          <w:lang w:eastAsia="fr-FR"/>
        </w:rPr>
        <w:br/>
        <w:t xml:space="preserve">Procédure pour les recours en vertu des articles 33, 34 et 35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1.</w:t>
      </w:r>
      <w:r w:rsidRPr="002B2F0B">
        <w:rPr>
          <w:b/>
          <w:bCs/>
          <w:i/>
          <w:szCs w:val="24"/>
          <w:lang w:eastAsia="fr-FR"/>
        </w:rPr>
        <w:tab/>
        <w:t xml:space="preserve">La demande de recours en vertu de l'article 33, 34 ou 35 est introduite en utilisant le formulaire de recours établi au moyen d'actes d'exécution adoptés en conformité avec la procédure consultative visée à l'article 52, paragraphe 2. Cette demande peut être faite à tout moment et introduite par tout moyen de communication, y compris électronique, qui est accepté en vertu des règles de procédure de l'État membre dans lequel la demande est introduite.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2.</w:t>
      </w:r>
      <w:r w:rsidRPr="002B2F0B">
        <w:rPr>
          <w:b/>
          <w:bCs/>
          <w:i/>
          <w:szCs w:val="24"/>
          <w:lang w:eastAsia="fr-FR"/>
        </w:rPr>
        <w:tab/>
        <w:t xml:space="preserve">La demande est portée à la connaissance de l'autre partie.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3.</w:t>
      </w:r>
      <w:r w:rsidRPr="002B2F0B">
        <w:rPr>
          <w:b/>
          <w:bCs/>
          <w:i/>
          <w:szCs w:val="24"/>
          <w:lang w:eastAsia="fr-FR"/>
        </w:rPr>
        <w:tab/>
        <w:t xml:space="preserve">À l'exception des cas où la demande a été introduite par le débiteur en vertu de l'article 34, paragraphe 1, point a), ou de l'article 35, paragraphe 3, la décision sur la demande est rendue après que les deux parties ont eu l'occasion de présenter leurs arguments, y compris par les moyens appropriés relevant des technologies de la communication disponibles et acceptés au titre du droit national de chacun des États membres concernés. </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4.</w:t>
      </w:r>
      <w:r w:rsidRPr="002B2F0B">
        <w:rPr>
          <w:b/>
          <w:bCs/>
          <w:i/>
          <w:szCs w:val="24"/>
          <w:lang w:eastAsia="fr-FR"/>
        </w:rPr>
        <w:tab/>
        <w:t>La décision est rendue sans tarder, mais au plus tard vingt et un jours après que la juridiction ou, lorsque le droit national le prévoit, l'autorité d'exécution compétente a reçu toutes les informations nécessaires pour rendre sa décision. La décision est portée à la connaissance des parties.</w:t>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br w:type="page"/>
      </w:r>
    </w:p>
    <w:p w:rsidR="002022AB" w:rsidRPr="002B2F0B" w:rsidRDefault="002022AB" w:rsidP="00075179">
      <w:pPr>
        <w:spacing w:before="120" w:after="120" w:line="360" w:lineRule="auto"/>
        <w:ind w:left="851" w:hanging="851"/>
        <w:rPr>
          <w:b/>
          <w:bCs/>
          <w:i/>
          <w:szCs w:val="24"/>
          <w:lang w:eastAsia="fr-FR"/>
        </w:rPr>
      </w:pPr>
      <w:r w:rsidRPr="002B2F0B">
        <w:rPr>
          <w:b/>
          <w:bCs/>
          <w:i/>
          <w:szCs w:val="24"/>
          <w:lang w:eastAsia="fr-FR"/>
        </w:rPr>
        <w:t>5.</w:t>
      </w:r>
      <w:r w:rsidRPr="002B2F0B">
        <w:rPr>
          <w:b/>
          <w:bCs/>
          <w:i/>
          <w:szCs w:val="24"/>
          <w:lang w:eastAsia="fr-FR"/>
        </w:rPr>
        <w:tab/>
        <w:t xml:space="preserve">La décision de révoquer ou de modifier l'ordonnance de saisie conservatoire et la décision de limiter l'exécution de l'ordonnance de saisie conservatoire ou d'y mettre fin sont immédiatement exécutoires. </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t xml:space="preserve">Lorsque la demande de recours a été introduite dans l'État membre d'origine, la juridiction, conformément à l'article 29, transmet la décision sur le recours, sans tarder, à l'autorité compétente de l'État membre d'exécution en utilisant le formulaire établi au moyen d'actes d'exécution adoptés en conformité avec la procédure consultative visée à l'article 52, paragraphe 2. Immédiatement dès réception de ce document, ladite autorité veille à ce que la décision sur le recours soit mise en œuvre. </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t>Lorsque la décision sur le recours concerne un compte bancaire tenu dans l'État membre d'origine, elle est mise en œuvre conformément au droit de l'État membre d’origine.</w:t>
      </w:r>
    </w:p>
    <w:p w:rsidR="002022AB" w:rsidRPr="002B2F0B" w:rsidRDefault="002022AB" w:rsidP="00075179">
      <w:pPr>
        <w:spacing w:before="120" w:after="120" w:line="360" w:lineRule="auto"/>
        <w:ind w:left="851"/>
        <w:rPr>
          <w:b/>
          <w:bCs/>
          <w:i/>
          <w:szCs w:val="24"/>
          <w:lang w:eastAsia="fr-FR"/>
        </w:rPr>
      </w:pPr>
      <w:r w:rsidRPr="002B2F0B">
        <w:rPr>
          <w:b/>
          <w:bCs/>
          <w:i/>
          <w:szCs w:val="24"/>
          <w:lang w:eastAsia="fr-FR"/>
        </w:rPr>
        <w:t xml:space="preserve">Lorsque la demande de recours a été introduite dans l'État membre d'exécution, la décision sur le recours est mise en œuvre conformément au droit de l'État membre d'exécution. </w:t>
      </w:r>
    </w:p>
    <w:p w:rsidR="002022AB" w:rsidRPr="002B2F0B" w:rsidRDefault="002022AB" w:rsidP="00075179">
      <w:pPr>
        <w:spacing w:before="120" w:after="120" w:line="360" w:lineRule="auto"/>
        <w:ind w:left="1418" w:hanging="1418"/>
        <w:rPr>
          <w:b/>
          <w:bCs/>
          <w:i/>
          <w:szCs w:val="24"/>
          <w:lang w:eastAsia="fr-FR"/>
        </w:rPr>
      </w:pPr>
      <w:r w:rsidRPr="002B2F0B">
        <w:rPr>
          <w:b/>
          <w:bCs/>
          <w:i/>
          <w:szCs w:val="24"/>
          <w:lang w:eastAsia="fr-FR"/>
        </w:rPr>
        <w:t>▌</w:t>
      </w:r>
    </w:p>
    <w:p w:rsidR="002022AB" w:rsidRPr="002B2F0B" w:rsidRDefault="002022AB" w:rsidP="00075179">
      <w:pPr>
        <w:widowControl w:val="0"/>
        <w:spacing w:line="360" w:lineRule="auto"/>
        <w:jc w:val="center"/>
        <w:rPr>
          <w:i/>
          <w:iCs/>
          <w:szCs w:val="24"/>
          <w:lang w:eastAsia="fr-FR"/>
        </w:rPr>
      </w:pPr>
      <w:r w:rsidRPr="002B2F0B">
        <w:rPr>
          <w:szCs w:val="24"/>
          <w:lang w:eastAsia="fr-FR"/>
        </w:rPr>
        <w:br w:type="page"/>
      </w:r>
      <w:r w:rsidRPr="002B2F0B">
        <w:rPr>
          <w:i/>
          <w:szCs w:val="24"/>
          <w:lang w:eastAsia="fr-FR"/>
        </w:rPr>
        <w:t xml:space="preserve">Article 37 </w:t>
      </w:r>
      <w:r w:rsidRPr="002B2F0B">
        <w:rPr>
          <w:i/>
          <w:iCs/>
          <w:szCs w:val="24"/>
          <w:lang w:eastAsia="fr-FR"/>
        </w:rPr>
        <w:br/>
      </w:r>
      <w:r w:rsidRPr="002B2F0B">
        <w:rPr>
          <w:i/>
          <w:szCs w:val="24"/>
          <w:lang w:eastAsia="fr-FR"/>
        </w:rPr>
        <w:t>Droit d’interjeter d’appel</w:t>
      </w:r>
    </w:p>
    <w:p w:rsidR="002022AB" w:rsidRPr="002B2F0B" w:rsidRDefault="002022AB" w:rsidP="00075179">
      <w:pPr>
        <w:keepNext/>
        <w:spacing w:before="360" w:after="120" w:line="360" w:lineRule="auto"/>
        <w:rPr>
          <w:szCs w:val="24"/>
          <w:lang w:eastAsia="fr-FR"/>
        </w:rPr>
      </w:pPr>
      <w:r w:rsidRPr="002B2F0B">
        <w:rPr>
          <w:b/>
          <w:bCs/>
          <w:i/>
          <w:iCs/>
          <w:szCs w:val="24"/>
          <w:lang w:eastAsia="fr-FR"/>
        </w:rPr>
        <w:t>Chaque partie a l</w:t>
      </w:r>
      <w:r w:rsidRPr="002B2F0B">
        <w:rPr>
          <w:szCs w:val="24"/>
          <w:lang w:eastAsia="fr-FR"/>
        </w:rPr>
        <w:t>e droit d'interjeter appel d'une décision rendue en vertu des articles 33, 34 ou </w:t>
      </w:r>
      <w:r w:rsidRPr="002B2F0B">
        <w:rPr>
          <w:b/>
          <w:bCs/>
          <w:i/>
          <w:iCs/>
          <w:szCs w:val="24"/>
          <w:lang w:eastAsia="fr-FR"/>
        </w:rPr>
        <w:t>35. Un tel appel est interjeté en utilisant le formulaire de recours établi au moyen d'actes d'exécution adoptés en conformité avec la procédure consultative visée à l'article 52, paragraphe 2.</w:t>
      </w:r>
    </w:p>
    <w:p w:rsidR="002022AB" w:rsidRPr="002B2F0B" w:rsidRDefault="002022AB" w:rsidP="00075179">
      <w:pPr>
        <w:keepNext/>
        <w:spacing w:before="360" w:after="120" w:line="360" w:lineRule="auto"/>
        <w:jc w:val="center"/>
        <w:rPr>
          <w:i/>
          <w:iCs/>
          <w:szCs w:val="24"/>
          <w:lang w:eastAsia="fr-FR"/>
        </w:rPr>
      </w:pPr>
      <w:r w:rsidRPr="002B2F0B">
        <w:rPr>
          <w:i/>
          <w:szCs w:val="24"/>
          <w:lang w:eastAsia="fr-FR"/>
        </w:rPr>
        <w:t xml:space="preserve">Article 38 </w:t>
      </w:r>
      <w:r w:rsidRPr="002B2F0B">
        <w:rPr>
          <w:i/>
          <w:iCs/>
          <w:szCs w:val="24"/>
          <w:lang w:eastAsia="fr-FR"/>
        </w:rPr>
        <w:br/>
      </w:r>
      <w:r w:rsidRPr="002B2F0B">
        <w:rPr>
          <w:i/>
          <w:szCs w:val="24"/>
          <w:lang w:eastAsia="fr-FR"/>
        </w:rPr>
        <w:t xml:space="preserve">Droit de constituer une garantie </w:t>
      </w:r>
      <w:r w:rsidRPr="002B2F0B">
        <w:rPr>
          <w:b/>
          <w:bCs/>
          <w:i/>
          <w:szCs w:val="24"/>
          <w:lang w:eastAsia="fr-FR"/>
        </w:rPr>
        <w:t>en remplacement de la saisie conservatoire</w:t>
      </w:r>
    </w:p>
    <w:p w:rsidR="002022AB" w:rsidRPr="002B2F0B" w:rsidRDefault="002022AB" w:rsidP="00075179">
      <w:pPr>
        <w:spacing w:before="120" w:after="120" w:line="360" w:lineRule="auto"/>
        <w:rPr>
          <w:b/>
          <w:bCs/>
          <w:i/>
          <w:iCs/>
          <w:szCs w:val="24"/>
          <w:lang w:eastAsia="fr-FR"/>
        </w:rPr>
      </w:pPr>
      <w:r w:rsidRPr="002B2F0B">
        <w:rPr>
          <w:b/>
          <w:bCs/>
          <w:i/>
          <w:iCs/>
          <w:szCs w:val="24"/>
          <w:lang w:eastAsia="fr-FR"/>
        </w:rPr>
        <w:t>1.</w:t>
      </w:r>
      <w:r w:rsidRPr="002B2F0B">
        <w:rPr>
          <w:b/>
          <w:bCs/>
          <w:i/>
          <w:iCs/>
          <w:szCs w:val="24"/>
          <w:lang w:eastAsia="fr-FR"/>
        </w:rPr>
        <w:tab/>
        <w:t>Sur demande du débiteur:</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a)</w:t>
      </w:r>
      <w:r w:rsidRPr="002B2F0B">
        <w:rPr>
          <w:b/>
          <w:bCs/>
          <w:i/>
          <w:iCs/>
          <w:szCs w:val="24"/>
          <w:lang w:eastAsia="fr-FR"/>
        </w:rPr>
        <w:tab/>
        <w:t>la juridiction qui a délivré l'ordonnance de saisie conservatoire peut ordonner la libération des fonds faisant l’objet de la saisie conservatoire si le débiteur fournit à cette juridiction une garantie à concurrence du montant précisé dans l'ordonnance ou une garantie de substitution sous une forme acceptable au titre du droit de l'État membre dans lequel est située la juridiction et d'une valeur au moins équivalente à ce montant;</w:t>
      </w:r>
    </w:p>
    <w:p w:rsidR="002022AB" w:rsidRPr="002B2F0B" w:rsidRDefault="002022AB" w:rsidP="00075179">
      <w:pPr>
        <w:spacing w:before="120" w:after="120" w:line="360" w:lineRule="auto"/>
        <w:ind w:left="851" w:hanging="851"/>
        <w:rPr>
          <w:b/>
          <w:bCs/>
          <w:i/>
          <w:iCs/>
          <w:szCs w:val="24"/>
          <w:lang w:eastAsia="fr-FR"/>
        </w:rPr>
      </w:pPr>
      <w:r w:rsidRPr="002B2F0B">
        <w:rPr>
          <w:b/>
          <w:bCs/>
          <w:i/>
          <w:iCs/>
          <w:szCs w:val="24"/>
          <w:lang w:eastAsia="fr-FR"/>
        </w:rPr>
        <w:t>b)</w:t>
      </w:r>
      <w:r w:rsidRPr="002B2F0B">
        <w:rPr>
          <w:b/>
          <w:bCs/>
          <w:i/>
          <w:iCs/>
          <w:szCs w:val="24"/>
          <w:lang w:eastAsia="fr-FR"/>
        </w:rPr>
        <w:tab/>
        <w:t>la juridiction compétente ou, lorsque le droit national le prévoit, l'autorité d'exécution compétente de l'État membre d'exécution peut mettre fin à l'exécution de l'ordonnance de saisie conservatoire dans l'État membre d'exécution si le débiteur dépose auprès de cette juridiction ou autorité une garantie à concurrence du montant saisi à titre conservatoire dans cet État membre, ou une garantie de substitution sous une forme acceptable au titre du droit de l'État membre dans lequel est située la juridiction et d'une valeur au moins équivalente à ce montant.</w:t>
      </w:r>
    </w:p>
    <w:p w:rsidR="002022AB" w:rsidRPr="002B2F0B" w:rsidRDefault="002022AB" w:rsidP="00075179">
      <w:pPr>
        <w:widowControl w:val="0"/>
        <w:spacing w:line="360" w:lineRule="auto"/>
        <w:ind w:left="851" w:hanging="851"/>
        <w:rPr>
          <w:b/>
          <w:bCs/>
          <w:i/>
          <w:iCs/>
          <w:szCs w:val="24"/>
          <w:lang w:eastAsia="fr-FR"/>
        </w:rPr>
      </w:pPr>
      <w:r w:rsidRPr="002B2F0B">
        <w:rPr>
          <w:szCs w:val="24"/>
          <w:lang w:eastAsia="fr-FR"/>
        </w:rPr>
        <w:br w:type="page"/>
        <w:t>2.</w:t>
      </w:r>
      <w:r w:rsidRPr="002B2F0B">
        <w:rPr>
          <w:szCs w:val="24"/>
          <w:lang w:eastAsia="fr-FR"/>
        </w:rPr>
        <w:tab/>
      </w:r>
      <w:r w:rsidRPr="002B2F0B">
        <w:rPr>
          <w:b/>
          <w:bCs/>
          <w:i/>
          <w:iCs/>
          <w:szCs w:val="24"/>
          <w:lang w:eastAsia="fr-FR"/>
        </w:rPr>
        <w:t xml:space="preserve">Les articles 23 et 24 s'appliquent, le cas échéant, à la libération des fonds faisant l’objet de la saisie conservatoire. La constitution de la garantie en remplacement de la saisie conservatoire est portée à la connaissance du créancier conformément au droit national. </w:t>
      </w:r>
    </w:p>
    <w:p w:rsidR="002022AB" w:rsidRPr="002B2F0B" w:rsidRDefault="002022AB" w:rsidP="00075179">
      <w:pPr>
        <w:spacing w:before="120" w:after="120" w:line="360" w:lineRule="auto"/>
        <w:ind w:left="851" w:hanging="851"/>
        <w:jc w:val="center"/>
        <w:rPr>
          <w:szCs w:val="24"/>
          <w:lang w:eastAsia="fr-FR"/>
        </w:rPr>
      </w:pPr>
    </w:p>
    <w:p w:rsidR="002022AB" w:rsidRPr="002B2F0B" w:rsidRDefault="002022AB" w:rsidP="00075179">
      <w:pPr>
        <w:spacing w:before="120" w:after="120" w:line="360" w:lineRule="auto"/>
        <w:jc w:val="center"/>
        <w:rPr>
          <w:i/>
          <w:iCs/>
          <w:szCs w:val="24"/>
          <w:lang w:eastAsia="fr-FR"/>
        </w:rPr>
      </w:pPr>
      <w:r w:rsidRPr="002B2F0B">
        <w:rPr>
          <w:i/>
          <w:szCs w:val="24"/>
          <w:lang w:eastAsia="fr-FR"/>
        </w:rPr>
        <w:t xml:space="preserve">Article 39 </w:t>
      </w:r>
      <w:r w:rsidRPr="002B2F0B">
        <w:rPr>
          <w:i/>
          <w:iCs/>
          <w:szCs w:val="24"/>
          <w:lang w:eastAsia="fr-FR"/>
        </w:rPr>
        <w:br/>
      </w:r>
      <w:r w:rsidRPr="002B2F0B">
        <w:rPr>
          <w:i/>
          <w:szCs w:val="24"/>
          <w:lang w:eastAsia="fr-FR"/>
        </w:rPr>
        <w:t>Droit des tiers</w:t>
      </w:r>
    </w:p>
    <w:p w:rsidR="002022AB" w:rsidRPr="002B2F0B" w:rsidRDefault="002022AB" w:rsidP="00075179">
      <w:pPr>
        <w:widowControl w:val="0"/>
        <w:spacing w:before="120" w:after="120" w:line="360" w:lineRule="auto"/>
        <w:ind w:left="567" w:hanging="567"/>
        <w:rPr>
          <w:szCs w:val="24"/>
          <w:lang w:eastAsia="fr-FR"/>
        </w:rPr>
      </w:pPr>
      <w:r w:rsidRPr="002B2F0B">
        <w:rPr>
          <w:b/>
          <w:bCs/>
          <w:i/>
          <w:iCs/>
          <w:szCs w:val="24"/>
          <w:lang w:eastAsia="fr-FR"/>
        </w:rPr>
        <w:t>1.</w:t>
      </w:r>
      <w:r w:rsidRPr="002B2F0B">
        <w:rPr>
          <w:szCs w:val="24"/>
          <w:lang w:eastAsia="fr-FR"/>
        </w:rPr>
        <w:tab/>
      </w:r>
      <w:r w:rsidRPr="002B2F0B">
        <w:rPr>
          <w:b/>
          <w:bCs/>
          <w:i/>
          <w:iCs/>
          <w:szCs w:val="24"/>
          <w:lang w:eastAsia="fr-FR"/>
        </w:rPr>
        <w:t>Le droit d'u</w:t>
      </w:r>
      <w:r w:rsidRPr="002B2F0B">
        <w:rPr>
          <w:szCs w:val="24"/>
          <w:lang w:eastAsia="fr-FR"/>
        </w:rPr>
        <w:t xml:space="preserve">n tiers </w:t>
      </w:r>
      <w:r w:rsidRPr="002B2F0B">
        <w:rPr>
          <w:b/>
          <w:bCs/>
          <w:i/>
          <w:iCs/>
          <w:szCs w:val="24"/>
          <w:lang w:eastAsia="fr-FR"/>
        </w:rPr>
        <w:t xml:space="preserve">de contester une ordonnance de saisie conservatoire est régi par le droit </w:t>
      </w:r>
      <w:r w:rsidRPr="002B2F0B">
        <w:rPr>
          <w:szCs w:val="24"/>
          <w:lang w:eastAsia="fr-FR"/>
        </w:rPr>
        <w:t>de l'État membre d'origine.</w:t>
      </w:r>
    </w:p>
    <w:p w:rsidR="002022AB" w:rsidRPr="002B2F0B" w:rsidRDefault="002022AB" w:rsidP="00075179">
      <w:pPr>
        <w:widowControl w:val="0"/>
        <w:spacing w:before="120" w:after="120" w:line="360" w:lineRule="auto"/>
        <w:ind w:left="567" w:hanging="567"/>
        <w:rPr>
          <w:b/>
          <w:bCs/>
          <w:i/>
          <w:iCs/>
          <w:szCs w:val="24"/>
          <w:lang w:eastAsia="fr-FR"/>
        </w:rPr>
      </w:pPr>
      <w:r w:rsidRPr="002B2F0B">
        <w:rPr>
          <w:b/>
          <w:bCs/>
          <w:i/>
          <w:iCs/>
          <w:szCs w:val="24"/>
          <w:lang w:eastAsia="fr-FR"/>
        </w:rPr>
        <w:t>2.</w:t>
      </w:r>
      <w:r w:rsidRPr="002B2F0B">
        <w:rPr>
          <w:b/>
          <w:bCs/>
          <w:i/>
          <w:iCs/>
          <w:szCs w:val="24"/>
          <w:lang w:eastAsia="fr-FR"/>
        </w:rPr>
        <w:tab/>
        <w:t>Le droit d'un tiers de contester l'exécution d'une ordonnance de saisie conservatoire est régi par le droit de l'État membre d'exécution.</w:t>
      </w:r>
    </w:p>
    <w:p w:rsidR="002022AB" w:rsidRPr="002B2F0B" w:rsidRDefault="002022AB" w:rsidP="00075179">
      <w:pPr>
        <w:widowControl w:val="0"/>
        <w:spacing w:before="120" w:after="120" w:line="360" w:lineRule="auto"/>
        <w:ind w:left="567" w:hanging="567"/>
        <w:rPr>
          <w:b/>
          <w:bCs/>
          <w:i/>
          <w:iCs/>
          <w:szCs w:val="24"/>
          <w:lang w:eastAsia="fr-FR"/>
        </w:rPr>
      </w:pPr>
      <w:r w:rsidRPr="002B2F0B">
        <w:rPr>
          <w:b/>
          <w:bCs/>
          <w:i/>
          <w:iCs/>
          <w:szCs w:val="24"/>
          <w:lang w:eastAsia="fr-FR"/>
        </w:rPr>
        <w:t>3.</w:t>
      </w:r>
      <w:r w:rsidRPr="002B2F0B">
        <w:rPr>
          <w:b/>
          <w:bCs/>
          <w:i/>
          <w:iCs/>
          <w:szCs w:val="24"/>
          <w:lang w:eastAsia="fr-FR"/>
        </w:rPr>
        <w:tab/>
        <w:t xml:space="preserve">Sans préjudice d'autres règles de compétence prévues dans le droit de l'Union ou des États membres, la compétence concernant toute action engagée par un tiers visant à: </w:t>
      </w:r>
    </w:p>
    <w:p w:rsidR="002022AB" w:rsidRPr="002B2F0B" w:rsidRDefault="002022AB" w:rsidP="00075179">
      <w:pPr>
        <w:widowControl w:val="0"/>
        <w:spacing w:before="120" w:after="120" w:line="360" w:lineRule="auto"/>
        <w:ind w:left="1134" w:hanging="567"/>
        <w:rPr>
          <w:b/>
          <w:bCs/>
          <w:i/>
          <w:iCs/>
          <w:szCs w:val="24"/>
          <w:lang w:eastAsia="fr-FR"/>
        </w:rPr>
      </w:pPr>
      <w:r w:rsidRPr="002B2F0B">
        <w:rPr>
          <w:b/>
          <w:bCs/>
          <w:i/>
          <w:iCs/>
          <w:szCs w:val="24"/>
          <w:lang w:eastAsia="fr-FR"/>
        </w:rPr>
        <w:t>a)</w:t>
      </w:r>
      <w:r w:rsidRPr="002B2F0B">
        <w:rPr>
          <w:b/>
          <w:bCs/>
          <w:i/>
          <w:iCs/>
          <w:szCs w:val="24"/>
          <w:lang w:eastAsia="fr-FR"/>
        </w:rPr>
        <w:tab/>
        <w:t xml:space="preserve">contester une ordonnance de saisie conservatoire, relève des juridictions de l'État membre d'origine; et </w:t>
      </w:r>
    </w:p>
    <w:p w:rsidR="002022AB" w:rsidRPr="002B2F0B" w:rsidRDefault="002022AB" w:rsidP="00075179">
      <w:pPr>
        <w:widowControl w:val="0"/>
        <w:spacing w:before="120" w:after="120" w:line="360" w:lineRule="auto"/>
        <w:ind w:left="1134" w:hanging="567"/>
        <w:rPr>
          <w:b/>
          <w:bCs/>
          <w:i/>
          <w:iCs/>
          <w:szCs w:val="24"/>
          <w:lang w:eastAsia="fr-FR"/>
        </w:rPr>
      </w:pPr>
      <w:r w:rsidRPr="002B2F0B">
        <w:rPr>
          <w:b/>
          <w:bCs/>
          <w:i/>
          <w:iCs/>
          <w:szCs w:val="24"/>
          <w:lang w:eastAsia="fr-FR"/>
        </w:rPr>
        <w:t>b)</w:t>
      </w:r>
      <w:r w:rsidRPr="002B2F0B">
        <w:rPr>
          <w:b/>
          <w:bCs/>
          <w:i/>
          <w:iCs/>
          <w:szCs w:val="24"/>
          <w:lang w:eastAsia="fr-FR"/>
        </w:rPr>
        <w:tab/>
        <w:t>contester l'exécution d'une ordonnance de saisie conservatoire dans l'État membre d'exécution, relève des juridictions de l'État membre d'exécution ou, lorsque le droit national dudit État membre le prévoit, de l'autorité d'exécution compétente.</w:t>
      </w:r>
    </w:p>
    <w:p w:rsidR="002022AB" w:rsidRPr="002B2F0B" w:rsidRDefault="002022AB" w:rsidP="00075179">
      <w:pPr>
        <w:widowControl w:val="0"/>
        <w:spacing w:before="120" w:after="120" w:line="360" w:lineRule="auto"/>
        <w:ind w:left="1134" w:hanging="1134"/>
        <w:rPr>
          <w:b/>
          <w:bCs/>
          <w:i/>
          <w:iCs/>
          <w:szCs w:val="24"/>
          <w:lang w:eastAsia="fr-FR"/>
        </w:rPr>
      </w:pPr>
      <w:r w:rsidRPr="002B2F0B">
        <w:rPr>
          <w:b/>
          <w:bCs/>
          <w:i/>
          <w:iCs/>
          <w:szCs w:val="24"/>
          <w:lang w:eastAsia="fr-FR"/>
        </w:rPr>
        <w:t>▌</w:t>
      </w:r>
    </w:p>
    <w:p w:rsidR="002022AB" w:rsidRPr="002B2F0B" w:rsidRDefault="002022AB" w:rsidP="00075179">
      <w:pPr>
        <w:keepNext/>
        <w:spacing w:before="360" w:after="120" w:line="360" w:lineRule="auto"/>
        <w:jc w:val="center"/>
        <w:rPr>
          <w:b/>
          <w:bCs/>
          <w:sz w:val="32"/>
          <w:szCs w:val="32"/>
          <w:lang w:eastAsia="fr-FR"/>
        </w:rPr>
      </w:pPr>
      <w:r w:rsidRPr="002B2F0B">
        <w:rPr>
          <w:szCs w:val="24"/>
          <w:lang w:eastAsia="fr-FR"/>
        </w:rPr>
        <w:br w:type="page"/>
      </w:r>
      <w:r w:rsidRPr="002B2F0B">
        <w:rPr>
          <w:b/>
          <w:sz w:val="32"/>
          <w:szCs w:val="24"/>
          <w:lang w:eastAsia="fr-FR"/>
        </w:rPr>
        <w:t xml:space="preserve">Chapitre 5 </w:t>
      </w:r>
      <w:r w:rsidRPr="002B2F0B">
        <w:rPr>
          <w:b/>
          <w:bCs/>
          <w:sz w:val="32"/>
          <w:szCs w:val="32"/>
          <w:lang w:eastAsia="fr-FR"/>
        </w:rPr>
        <w:br/>
      </w:r>
      <w:r w:rsidRPr="002B2F0B">
        <w:rPr>
          <w:b/>
          <w:sz w:val="32"/>
          <w:szCs w:val="24"/>
          <w:lang w:eastAsia="fr-FR"/>
        </w:rPr>
        <w:t>Dispositions générales</w:t>
      </w:r>
    </w:p>
    <w:p w:rsidR="002022AB" w:rsidRPr="002B2F0B" w:rsidRDefault="002022AB" w:rsidP="00075179">
      <w:pPr>
        <w:keepNext/>
        <w:spacing w:before="360" w:after="120" w:line="360" w:lineRule="auto"/>
        <w:jc w:val="center"/>
        <w:rPr>
          <w:b/>
          <w:i/>
          <w:iCs/>
          <w:szCs w:val="24"/>
          <w:lang w:eastAsia="fr-FR"/>
        </w:rPr>
      </w:pPr>
      <w:r w:rsidRPr="002B2F0B">
        <w:rPr>
          <w:b/>
          <w:i/>
          <w:szCs w:val="24"/>
          <w:lang w:eastAsia="fr-FR"/>
        </w:rPr>
        <w:t xml:space="preserve">Article 40 </w:t>
      </w:r>
      <w:r w:rsidRPr="002B2F0B">
        <w:rPr>
          <w:b/>
          <w:i/>
          <w:szCs w:val="24"/>
          <w:lang w:eastAsia="fr-FR"/>
        </w:rPr>
        <w:br/>
        <w:t>Légalisation ou formalité analogue</w:t>
      </w:r>
    </w:p>
    <w:p w:rsidR="002022AB" w:rsidRPr="002B2F0B" w:rsidRDefault="002022AB" w:rsidP="00075179">
      <w:pPr>
        <w:widowControl w:val="0"/>
        <w:spacing w:before="120" w:after="120" w:line="360" w:lineRule="auto"/>
        <w:rPr>
          <w:b/>
          <w:i/>
          <w:iCs/>
          <w:szCs w:val="24"/>
          <w:lang w:eastAsia="fr-FR"/>
        </w:rPr>
      </w:pPr>
      <w:r w:rsidRPr="002B2F0B">
        <w:rPr>
          <w:b/>
          <w:i/>
          <w:iCs/>
          <w:szCs w:val="24"/>
          <w:lang w:eastAsia="fr-FR"/>
        </w:rPr>
        <w:t>Aucune légalisation ni formalité analogue n'est exigée dans le cadre du présent règlement.</w:t>
      </w:r>
    </w:p>
    <w:p w:rsidR="002022AB" w:rsidRPr="002B2F0B" w:rsidRDefault="002022AB" w:rsidP="00075179">
      <w:pPr>
        <w:widowControl w:val="0"/>
        <w:spacing w:line="360" w:lineRule="auto"/>
        <w:rPr>
          <w:bCs/>
          <w:i/>
          <w:iCs/>
          <w:szCs w:val="24"/>
          <w:lang w:eastAsia="fr-FR"/>
        </w:rPr>
      </w:pPr>
      <w:r w:rsidRPr="002B2F0B">
        <w:rPr>
          <w:bCs/>
          <w:i/>
          <w:szCs w:val="24"/>
          <w:lang w:eastAsia="fr-FR"/>
        </w:rPr>
        <w:t xml:space="preserve"> </w:t>
      </w:r>
    </w:p>
    <w:p w:rsidR="002022AB" w:rsidRPr="002B2F0B" w:rsidRDefault="002022AB" w:rsidP="00075179">
      <w:pPr>
        <w:keepNext/>
        <w:spacing w:before="360" w:after="120" w:line="360" w:lineRule="auto"/>
        <w:jc w:val="center"/>
        <w:rPr>
          <w:bCs/>
          <w:i/>
          <w:iCs/>
          <w:szCs w:val="24"/>
          <w:lang w:eastAsia="fr-FR"/>
        </w:rPr>
      </w:pPr>
      <w:r w:rsidRPr="002B2F0B">
        <w:rPr>
          <w:bCs/>
          <w:i/>
          <w:szCs w:val="24"/>
          <w:lang w:eastAsia="fr-FR"/>
        </w:rPr>
        <w:t xml:space="preserve">Article 41 </w:t>
      </w:r>
      <w:r w:rsidRPr="002B2F0B">
        <w:rPr>
          <w:bCs/>
          <w:i/>
          <w:iCs/>
          <w:szCs w:val="24"/>
          <w:lang w:eastAsia="fr-FR"/>
        </w:rPr>
        <w:br/>
      </w:r>
      <w:r w:rsidRPr="002B2F0B">
        <w:rPr>
          <w:bCs/>
          <w:i/>
          <w:szCs w:val="24"/>
          <w:lang w:eastAsia="fr-FR"/>
        </w:rPr>
        <w:t xml:space="preserve">Représentation </w:t>
      </w:r>
      <w:r w:rsidRPr="002B2F0B">
        <w:rPr>
          <w:b/>
          <w:i/>
          <w:szCs w:val="24"/>
          <w:lang w:eastAsia="fr-FR"/>
        </w:rPr>
        <w:t>en justice</w:t>
      </w:r>
    </w:p>
    <w:p w:rsidR="002022AB" w:rsidRPr="002B2F0B" w:rsidRDefault="002022AB" w:rsidP="00075179">
      <w:pPr>
        <w:widowControl w:val="0"/>
        <w:spacing w:line="360" w:lineRule="auto"/>
        <w:rPr>
          <w:b/>
          <w:i/>
          <w:iCs/>
          <w:szCs w:val="24"/>
          <w:lang w:eastAsia="fr-FR"/>
        </w:rPr>
      </w:pPr>
      <w:r w:rsidRPr="002B2F0B">
        <w:rPr>
          <w:bCs/>
          <w:szCs w:val="24"/>
          <w:lang w:eastAsia="fr-FR"/>
        </w:rPr>
        <w:t>La représentation par un avocat ou un autre professionnel du droit n'est pas obligatoire dans l</w:t>
      </w:r>
      <w:r w:rsidRPr="002B2F0B">
        <w:rPr>
          <w:b/>
          <w:i/>
          <w:iCs/>
          <w:szCs w:val="24"/>
          <w:lang w:eastAsia="fr-FR"/>
        </w:rPr>
        <w:t>es</w:t>
      </w:r>
      <w:r w:rsidRPr="002B2F0B">
        <w:rPr>
          <w:bCs/>
          <w:szCs w:val="24"/>
          <w:lang w:eastAsia="fr-FR"/>
        </w:rPr>
        <w:t xml:space="preserve"> procédure</w:t>
      </w:r>
      <w:r w:rsidRPr="002B2F0B">
        <w:rPr>
          <w:b/>
          <w:i/>
          <w:iCs/>
          <w:szCs w:val="24"/>
          <w:lang w:eastAsia="fr-FR"/>
        </w:rPr>
        <w:t>s d’obtention d'une ordonnance de saisie conservatoire</w:t>
      </w:r>
      <w:r w:rsidRPr="002B2F0B">
        <w:rPr>
          <w:bCs/>
          <w:szCs w:val="24"/>
          <w:lang w:eastAsia="fr-FR"/>
        </w:rPr>
        <w:t xml:space="preserve">. </w:t>
      </w:r>
      <w:r w:rsidRPr="002B2F0B">
        <w:rPr>
          <w:b/>
          <w:i/>
          <w:iCs/>
          <w:szCs w:val="24"/>
          <w:lang w:eastAsia="fr-FR"/>
        </w:rPr>
        <w:t>Dans le cadre des procédures menées en vertu du chapitre 4, la représentation par un avocat ou un autre professionnel du droit n'est pas obligatoire, sauf si, au titre du droit de l'État membre de la juridiction ou de l'autorité auprès de laquelle la demande de recours est introduite, cette représentation est obligatoire indépendamment de la nationalité ou du domicile des parties.</w:t>
      </w:r>
    </w:p>
    <w:p w:rsidR="002022AB" w:rsidRPr="002B2F0B" w:rsidRDefault="002022AB" w:rsidP="00075179">
      <w:pPr>
        <w:widowControl w:val="0"/>
        <w:spacing w:before="120" w:after="120" w:line="360" w:lineRule="auto"/>
        <w:rPr>
          <w:bCs/>
          <w:szCs w:val="24"/>
          <w:lang w:eastAsia="fr-FR"/>
        </w:rPr>
      </w:pPr>
      <w:r w:rsidRPr="002B2F0B">
        <w:rPr>
          <w:bCs/>
          <w:szCs w:val="24"/>
          <w:lang w:eastAsia="fr-FR"/>
        </w:rPr>
        <w:t>▌</w:t>
      </w:r>
    </w:p>
    <w:p w:rsidR="002022AB" w:rsidRPr="002B2F0B" w:rsidRDefault="002022AB" w:rsidP="00075179">
      <w:pPr>
        <w:widowControl w:val="0"/>
        <w:spacing w:line="360" w:lineRule="auto"/>
        <w:jc w:val="center"/>
        <w:rPr>
          <w:bCs/>
          <w:i/>
          <w:iCs/>
          <w:szCs w:val="24"/>
          <w:lang w:eastAsia="fr-FR"/>
        </w:rPr>
      </w:pPr>
      <w:r w:rsidRPr="002B2F0B">
        <w:rPr>
          <w:bCs/>
          <w:szCs w:val="24"/>
          <w:lang w:eastAsia="fr-FR"/>
        </w:rPr>
        <w:br w:type="page"/>
      </w:r>
      <w:r w:rsidRPr="002B2F0B">
        <w:rPr>
          <w:bCs/>
          <w:i/>
          <w:szCs w:val="24"/>
          <w:lang w:eastAsia="fr-FR"/>
        </w:rPr>
        <w:t>Article 42</w:t>
      </w:r>
      <w:r w:rsidRPr="002B2F0B">
        <w:rPr>
          <w:bCs/>
          <w:i/>
          <w:iCs/>
          <w:szCs w:val="24"/>
          <w:lang w:eastAsia="fr-FR"/>
        </w:rPr>
        <w:br/>
      </w:r>
      <w:r w:rsidRPr="002B2F0B">
        <w:rPr>
          <w:bCs/>
          <w:i/>
          <w:szCs w:val="24"/>
          <w:lang w:eastAsia="fr-FR"/>
        </w:rPr>
        <w:t>Frais de justice</w:t>
      </w:r>
    </w:p>
    <w:p w:rsidR="002022AB" w:rsidRPr="002B2F0B" w:rsidRDefault="002022AB" w:rsidP="00075179">
      <w:pPr>
        <w:spacing w:before="120" w:after="120" w:line="360" w:lineRule="auto"/>
        <w:rPr>
          <w:bCs/>
          <w:szCs w:val="24"/>
          <w:lang w:eastAsia="fr-FR"/>
        </w:rPr>
      </w:pPr>
      <w:r w:rsidRPr="002B2F0B">
        <w:rPr>
          <w:bCs/>
          <w:szCs w:val="24"/>
          <w:lang w:eastAsia="fr-FR"/>
        </w:rPr>
        <w:t xml:space="preserve">Les frais de justice </w:t>
      </w:r>
      <w:r w:rsidRPr="002B2F0B">
        <w:rPr>
          <w:b/>
          <w:i/>
          <w:iCs/>
          <w:szCs w:val="24"/>
          <w:lang w:eastAsia="fr-FR"/>
        </w:rPr>
        <w:t>dans le cadre d'une procédure d’obtention d'une ordonnance de saisie conservatoire ou d'une procédure de recours contre une ordonnance</w:t>
      </w:r>
      <w:r w:rsidRPr="002B2F0B">
        <w:rPr>
          <w:bCs/>
          <w:szCs w:val="24"/>
          <w:lang w:eastAsia="fr-FR"/>
        </w:rPr>
        <w:t xml:space="preserve"> ne peuvent être supérieurs aux frais supportés pour l'obtention d'une </w:t>
      </w:r>
      <w:r w:rsidRPr="002B2F0B">
        <w:rPr>
          <w:b/>
          <w:i/>
          <w:iCs/>
          <w:szCs w:val="24"/>
          <w:lang w:eastAsia="fr-FR"/>
        </w:rPr>
        <w:t>ordonnance</w:t>
      </w:r>
      <w:r w:rsidRPr="002B2F0B">
        <w:rPr>
          <w:bCs/>
          <w:szCs w:val="24"/>
          <w:lang w:eastAsia="fr-FR"/>
        </w:rPr>
        <w:t xml:space="preserve"> équivalente </w:t>
      </w:r>
      <w:r w:rsidRPr="002B2F0B">
        <w:rPr>
          <w:b/>
          <w:i/>
          <w:iCs/>
          <w:szCs w:val="24"/>
          <w:lang w:eastAsia="fr-FR"/>
        </w:rPr>
        <w:t>sur le plan national ou pour un recours contre une telle ordonnance sur le plan national</w:t>
      </w:r>
      <w:r w:rsidRPr="002B2F0B">
        <w:rPr>
          <w:bCs/>
          <w:i/>
          <w:iCs/>
          <w:szCs w:val="24"/>
          <w:lang w:eastAsia="fr-FR"/>
        </w:rPr>
        <w:t>.</w:t>
      </w:r>
    </w:p>
    <w:p w:rsidR="002022AB" w:rsidRPr="002B2F0B" w:rsidRDefault="002022AB" w:rsidP="00075179">
      <w:pPr>
        <w:keepNext/>
        <w:spacing w:before="360" w:after="120" w:line="360" w:lineRule="auto"/>
        <w:jc w:val="center"/>
        <w:rPr>
          <w:b/>
          <w:i/>
          <w:iCs/>
          <w:szCs w:val="24"/>
          <w:lang w:eastAsia="fr-FR"/>
        </w:rPr>
      </w:pPr>
      <w:r w:rsidRPr="002B2F0B">
        <w:rPr>
          <w:b/>
          <w:i/>
          <w:iCs/>
          <w:szCs w:val="24"/>
          <w:lang w:eastAsia="fr-FR"/>
        </w:rPr>
        <w:t xml:space="preserve">Article 43 </w:t>
      </w:r>
      <w:r w:rsidRPr="002B2F0B">
        <w:rPr>
          <w:b/>
          <w:i/>
          <w:iCs/>
          <w:szCs w:val="24"/>
          <w:lang w:eastAsia="fr-FR"/>
        </w:rPr>
        <w:br/>
        <w:t>Coûts supportés par les banques</w:t>
      </w:r>
    </w:p>
    <w:p w:rsidR="002022AB" w:rsidRPr="002B2F0B" w:rsidRDefault="002022AB" w:rsidP="00075179">
      <w:pPr>
        <w:spacing w:before="120" w:after="120" w:line="360" w:lineRule="auto"/>
        <w:ind w:left="851" w:hanging="851"/>
        <w:rPr>
          <w:b/>
          <w:i/>
          <w:iCs/>
          <w:szCs w:val="24"/>
          <w:lang w:eastAsia="fr-FR"/>
        </w:rPr>
      </w:pPr>
      <w:r w:rsidRPr="002B2F0B">
        <w:rPr>
          <w:b/>
          <w:i/>
          <w:iCs/>
          <w:szCs w:val="24"/>
          <w:lang w:eastAsia="fr-FR"/>
        </w:rPr>
        <w:t>1.</w:t>
      </w:r>
      <w:r w:rsidRPr="002B2F0B">
        <w:rPr>
          <w:b/>
          <w:i/>
          <w:iCs/>
          <w:szCs w:val="24"/>
          <w:lang w:eastAsia="fr-FR"/>
        </w:rPr>
        <w:tab/>
        <w:t xml:space="preserve">Une banque est en droit de demander au créancier ou au débiteur le paiement ou le remboursement des coûts supportés pour la mise en œuvre d'une ordonnance de saisie conservatoire uniquement lorsque, au titre du droit de l'État membre d'exécution, elle a droit à ce paiement ou remboursement par rapport à des ordonnances équivalentes sur le plan national. </w:t>
      </w:r>
    </w:p>
    <w:p w:rsidR="002022AB" w:rsidRPr="002B2F0B" w:rsidRDefault="002022AB" w:rsidP="00075179">
      <w:pPr>
        <w:spacing w:before="120" w:after="120" w:line="360" w:lineRule="auto"/>
        <w:ind w:left="851" w:hanging="851"/>
        <w:rPr>
          <w:b/>
          <w:i/>
          <w:iCs/>
          <w:szCs w:val="24"/>
          <w:lang w:eastAsia="fr-FR"/>
        </w:rPr>
      </w:pPr>
      <w:r w:rsidRPr="002B2F0B">
        <w:rPr>
          <w:b/>
          <w:i/>
          <w:iCs/>
          <w:szCs w:val="24"/>
          <w:lang w:eastAsia="fr-FR"/>
        </w:rPr>
        <w:t>2.</w:t>
      </w:r>
      <w:r w:rsidRPr="002B2F0B">
        <w:rPr>
          <w:b/>
          <w:i/>
          <w:iCs/>
          <w:szCs w:val="24"/>
          <w:lang w:eastAsia="fr-FR"/>
        </w:rPr>
        <w:tab/>
        <w:t xml:space="preserve">Les frais facturés par une banque pour couvrir les coûts visés au paragraphe 1 sont déterminés en tenant compte de la complexité de la mise en œuvre de l'ordonnance de saisie conservatoire et ne peuvent être supérieurs aux frais facturés pour la mise en œuvre d'ordonnances équivalentes sur le plan national. </w:t>
      </w:r>
    </w:p>
    <w:p w:rsidR="002022AB" w:rsidRPr="002B2F0B" w:rsidRDefault="002022AB" w:rsidP="00075179">
      <w:pPr>
        <w:spacing w:before="120" w:after="120" w:line="360" w:lineRule="auto"/>
        <w:ind w:left="851" w:hanging="851"/>
        <w:rPr>
          <w:b/>
          <w:i/>
          <w:iCs/>
          <w:szCs w:val="24"/>
          <w:lang w:eastAsia="fr-FR"/>
        </w:rPr>
      </w:pPr>
      <w:r w:rsidRPr="002B2F0B">
        <w:rPr>
          <w:b/>
          <w:i/>
          <w:iCs/>
          <w:szCs w:val="24"/>
          <w:lang w:eastAsia="fr-FR"/>
        </w:rPr>
        <w:t>3.</w:t>
      </w:r>
      <w:r w:rsidRPr="002B2F0B">
        <w:rPr>
          <w:b/>
          <w:i/>
          <w:iCs/>
          <w:szCs w:val="24"/>
          <w:lang w:eastAsia="fr-FR"/>
        </w:rPr>
        <w:tab/>
        <w:t xml:space="preserve">Les frais facturés par une banque pour couvrir les coûts liés à la communication d’informations relatives aux comptes en vertu de l'article 14 ne peuvent être supérieurs aux coûts réellement supportés et, le cas échéant, ne peuvent être supérieurs aux frais facturés pour la communication d'informations relatives aux comptes dans le cadre d'ordonnances équivalentes sur le plan national. </w:t>
      </w:r>
    </w:p>
    <w:p w:rsidR="002022AB" w:rsidRPr="002B2F0B" w:rsidRDefault="002022AB" w:rsidP="00075179">
      <w:pPr>
        <w:spacing w:before="120" w:after="120" w:line="360" w:lineRule="auto"/>
        <w:ind w:left="850"/>
        <w:jc w:val="center"/>
        <w:rPr>
          <w:b/>
          <w:i/>
          <w:iCs/>
          <w:szCs w:val="24"/>
          <w:lang w:eastAsia="fr-FR"/>
        </w:rPr>
      </w:pPr>
      <w:r w:rsidRPr="002B2F0B">
        <w:rPr>
          <w:b/>
          <w:i/>
          <w:iCs/>
          <w:szCs w:val="24"/>
          <w:lang w:eastAsia="fr-FR"/>
        </w:rPr>
        <w:br w:type="page"/>
        <w:t>Article 44</w:t>
      </w:r>
      <w:r w:rsidRPr="002B2F0B">
        <w:rPr>
          <w:b/>
          <w:i/>
          <w:iCs/>
          <w:szCs w:val="24"/>
          <w:lang w:eastAsia="fr-FR"/>
        </w:rPr>
        <w:br/>
        <w:t>Frais facturés par les autorités</w:t>
      </w:r>
    </w:p>
    <w:p w:rsidR="002022AB" w:rsidRPr="002B2F0B" w:rsidRDefault="002022AB" w:rsidP="00075179">
      <w:pPr>
        <w:widowControl w:val="0"/>
        <w:spacing w:before="120" w:after="120" w:line="360" w:lineRule="auto"/>
        <w:rPr>
          <w:b/>
          <w:i/>
          <w:iCs/>
          <w:szCs w:val="24"/>
          <w:lang w:eastAsia="fr-FR"/>
        </w:rPr>
      </w:pPr>
      <w:r w:rsidRPr="002B2F0B">
        <w:rPr>
          <w:b/>
          <w:i/>
          <w:iCs/>
          <w:szCs w:val="24"/>
          <w:lang w:eastAsia="fr-FR"/>
        </w:rPr>
        <w:t>Les frais facturés par toute autorité ou autre organisme de l'État membre d'exécution participant au traitement ou à l'exécution d'une ordonnance de saisie conservatoire ou à la communication d'informations relatives aux comptes en vertu de l'article 14 sont déterminés sur la base d'un barème ou d'un autre ensemble de règles fixé au préalable par chaque État membre et indiquant les frais applicables de manière transparente. Lors de l'établissement de ce barème ou de cet autre ensemble de règles, l'État membre peut tenir compte du montant de l'ordonnance et de la complexité inhérente à son traitement. Le cas échéant, les frais ne peuvent être supérieurs aux frais facturés par rapport à des ordonnances équivalentes sur le plan national.</w:t>
      </w:r>
    </w:p>
    <w:p w:rsidR="002022AB" w:rsidRPr="002B2F0B" w:rsidRDefault="002022AB" w:rsidP="00075179">
      <w:pPr>
        <w:keepNext/>
        <w:spacing w:before="120" w:after="120" w:line="360" w:lineRule="auto"/>
        <w:jc w:val="center"/>
        <w:rPr>
          <w:bCs/>
          <w:i/>
          <w:iCs/>
          <w:szCs w:val="24"/>
          <w:lang w:eastAsia="fr-FR"/>
        </w:rPr>
      </w:pPr>
      <w:r w:rsidRPr="002B2F0B">
        <w:rPr>
          <w:bCs/>
          <w:i/>
          <w:szCs w:val="24"/>
          <w:lang w:eastAsia="fr-FR"/>
        </w:rPr>
        <w:t xml:space="preserve">Article 45 </w:t>
      </w:r>
      <w:r w:rsidRPr="002B2F0B">
        <w:rPr>
          <w:bCs/>
          <w:i/>
          <w:iCs/>
          <w:szCs w:val="24"/>
          <w:lang w:eastAsia="fr-FR"/>
        </w:rPr>
        <w:br/>
      </w:r>
      <w:r w:rsidRPr="002B2F0B">
        <w:rPr>
          <w:bCs/>
          <w:i/>
          <w:szCs w:val="24"/>
          <w:lang w:eastAsia="fr-FR"/>
        </w:rPr>
        <w:t>Délais</w:t>
      </w:r>
    </w:p>
    <w:p w:rsidR="002022AB" w:rsidRPr="002B2F0B" w:rsidRDefault="002022AB" w:rsidP="00075179">
      <w:pPr>
        <w:widowControl w:val="0"/>
        <w:spacing w:before="120" w:after="120" w:line="360" w:lineRule="auto"/>
        <w:rPr>
          <w:bCs/>
          <w:szCs w:val="24"/>
          <w:lang w:eastAsia="fr-FR"/>
        </w:rPr>
      </w:pPr>
      <w:r w:rsidRPr="002B2F0B">
        <w:rPr>
          <w:bCs/>
          <w:szCs w:val="24"/>
          <w:lang w:eastAsia="fr-FR"/>
        </w:rPr>
        <w:t xml:space="preserve">Lorsque, dans des circonstances exceptionnelles, il est impossible pour la juridiction ▌ou l'autorité impliquée ▌de respecter les délais prévus à l'article </w:t>
      </w:r>
      <w:r w:rsidRPr="002B2F0B">
        <w:rPr>
          <w:b/>
          <w:i/>
          <w:iCs/>
          <w:szCs w:val="24"/>
          <w:lang w:eastAsia="fr-FR"/>
        </w:rPr>
        <w:t>14, paragraphe 7, à l'article 18, à l'article 23, paragraphe 2, à l'article 25, paragraphe 3, deuxième alinéa, à l'article 28, paragraphes 2, 3 et 6, à l'article 33, paragraphe 3, et à l'article 36, paragraphes 4 et 5</w:t>
      </w:r>
      <w:r w:rsidRPr="002B2F0B">
        <w:rPr>
          <w:bCs/>
          <w:szCs w:val="24"/>
          <w:lang w:eastAsia="fr-FR"/>
        </w:rPr>
        <w:t>, la juridiction ou l'autorité prend, dès que possible, les mesures requises par ces dispositions. ▌</w:t>
      </w:r>
    </w:p>
    <w:p w:rsidR="002022AB" w:rsidRPr="002B2F0B" w:rsidRDefault="002022AB" w:rsidP="00075179">
      <w:pPr>
        <w:keepNext/>
        <w:spacing w:before="120" w:after="120" w:line="360" w:lineRule="auto"/>
        <w:jc w:val="center"/>
        <w:rPr>
          <w:bCs/>
          <w:i/>
          <w:iCs/>
          <w:szCs w:val="24"/>
          <w:lang w:eastAsia="fr-FR"/>
        </w:rPr>
      </w:pPr>
      <w:r w:rsidRPr="002B2F0B">
        <w:rPr>
          <w:bCs/>
          <w:szCs w:val="24"/>
          <w:lang w:eastAsia="fr-FR"/>
        </w:rPr>
        <w:br w:type="page"/>
      </w:r>
      <w:r w:rsidRPr="002B2F0B">
        <w:rPr>
          <w:bCs/>
          <w:i/>
          <w:szCs w:val="24"/>
          <w:lang w:eastAsia="fr-FR"/>
        </w:rPr>
        <w:t>Article 46</w:t>
      </w:r>
      <w:r w:rsidRPr="002B2F0B">
        <w:rPr>
          <w:bCs/>
          <w:i/>
          <w:iCs/>
          <w:szCs w:val="24"/>
          <w:lang w:eastAsia="fr-FR"/>
        </w:rPr>
        <w:br/>
      </w:r>
      <w:r w:rsidRPr="002B2F0B">
        <w:rPr>
          <w:bCs/>
          <w:i/>
          <w:szCs w:val="24"/>
          <w:lang w:eastAsia="fr-FR"/>
        </w:rPr>
        <w:t>Relation avec le droit procédural national</w:t>
      </w:r>
    </w:p>
    <w:p w:rsidR="002022AB" w:rsidRPr="002B2F0B" w:rsidRDefault="002022AB" w:rsidP="00075179">
      <w:pPr>
        <w:widowControl w:val="0"/>
        <w:spacing w:before="120" w:after="120" w:line="360" w:lineRule="auto"/>
        <w:ind w:left="851" w:hanging="851"/>
        <w:rPr>
          <w:bCs/>
          <w:szCs w:val="24"/>
          <w:lang w:eastAsia="fr-FR"/>
        </w:rPr>
      </w:pPr>
      <w:r w:rsidRPr="002B2F0B">
        <w:rPr>
          <w:b/>
          <w:i/>
          <w:iCs/>
          <w:szCs w:val="24"/>
          <w:lang w:eastAsia="fr-FR"/>
        </w:rPr>
        <w:t>1.</w:t>
      </w:r>
      <w:r w:rsidRPr="002B2F0B">
        <w:rPr>
          <w:bCs/>
          <w:szCs w:val="24"/>
          <w:lang w:eastAsia="fr-FR"/>
        </w:rPr>
        <w:tab/>
        <w:t>Toute question procédurale non expressément réglée par le présent règlement est régie par </w:t>
      </w:r>
      <w:r w:rsidRPr="002B2F0B">
        <w:rPr>
          <w:b/>
          <w:bCs/>
          <w:i/>
          <w:szCs w:val="24"/>
          <w:lang w:eastAsia="fr-FR"/>
        </w:rPr>
        <w:t>le droit</w:t>
      </w:r>
      <w:r w:rsidRPr="002B2F0B">
        <w:rPr>
          <w:bCs/>
          <w:szCs w:val="24"/>
          <w:lang w:eastAsia="fr-FR"/>
        </w:rPr>
        <w:t xml:space="preserve"> </w:t>
      </w:r>
      <w:r w:rsidRPr="002B2F0B">
        <w:rPr>
          <w:b/>
          <w:i/>
          <w:iCs/>
          <w:szCs w:val="24"/>
          <w:lang w:eastAsia="fr-FR"/>
        </w:rPr>
        <w:t>de l'État membre dans lequel la procédure se déroule</w:t>
      </w:r>
      <w:r w:rsidRPr="002B2F0B">
        <w:rPr>
          <w:bCs/>
          <w:szCs w:val="24"/>
          <w:lang w:eastAsia="fr-FR"/>
        </w:rPr>
        <w:t>.</w:t>
      </w:r>
    </w:p>
    <w:p w:rsidR="002022AB" w:rsidRPr="002B2F0B" w:rsidRDefault="002022AB" w:rsidP="00075179">
      <w:pPr>
        <w:widowControl w:val="0"/>
        <w:spacing w:before="120" w:after="120" w:line="360" w:lineRule="auto"/>
        <w:ind w:left="851" w:hanging="851"/>
        <w:rPr>
          <w:b/>
          <w:i/>
          <w:iCs/>
          <w:szCs w:val="24"/>
          <w:lang w:eastAsia="fr-FR"/>
        </w:rPr>
      </w:pPr>
      <w:r w:rsidRPr="002B2F0B">
        <w:rPr>
          <w:b/>
          <w:i/>
          <w:iCs/>
          <w:szCs w:val="24"/>
          <w:lang w:eastAsia="fr-FR"/>
        </w:rPr>
        <w:t>2.</w:t>
      </w:r>
      <w:r w:rsidRPr="002B2F0B">
        <w:rPr>
          <w:b/>
          <w:i/>
          <w:iCs/>
          <w:szCs w:val="24"/>
          <w:lang w:eastAsia="fr-FR"/>
        </w:rPr>
        <w:tab/>
        <w:t>Les effets de l'ouverture d'une procédure d'insolvabilité sur les actions individuelles en exécution, telles que l’exécution d'une ordonnance de saisie conservatoire, sont régis par le droit de l'État membre dans lequel la procédure d'insolvabilité a été ouverte.</w:t>
      </w:r>
    </w:p>
    <w:p w:rsidR="002022AB" w:rsidRPr="002B2F0B" w:rsidRDefault="002022AB" w:rsidP="00075179">
      <w:pPr>
        <w:widowControl w:val="0"/>
        <w:spacing w:before="120" w:after="120" w:line="380" w:lineRule="exact"/>
        <w:jc w:val="center"/>
        <w:rPr>
          <w:b/>
          <w:i/>
          <w:szCs w:val="24"/>
          <w:lang w:eastAsia="fr-FR"/>
        </w:rPr>
      </w:pPr>
      <w:r w:rsidRPr="002B2F0B">
        <w:rPr>
          <w:b/>
          <w:i/>
          <w:szCs w:val="24"/>
          <w:lang w:eastAsia="fr-FR"/>
        </w:rPr>
        <w:t xml:space="preserve">Article 47 </w:t>
      </w:r>
      <w:r w:rsidRPr="002B2F0B">
        <w:rPr>
          <w:b/>
          <w:i/>
          <w:szCs w:val="24"/>
          <w:lang w:eastAsia="fr-FR"/>
        </w:rPr>
        <w:br/>
        <w:t>Protection des données à caractère personnel</w:t>
      </w:r>
    </w:p>
    <w:p w:rsidR="002022AB" w:rsidRPr="002B2F0B" w:rsidRDefault="002022AB" w:rsidP="00075179">
      <w:pPr>
        <w:spacing w:before="120" w:after="120" w:line="380" w:lineRule="exact"/>
        <w:ind w:left="851" w:hanging="851"/>
        <w:rPr>
          <w:b/>
          <w:i/>
          <w:szCs w:val="24"/>
          <w:lang w:eastAsia="fr-FR"/>
        </w:rPr>
      </w:pPr>
      <w:r w:rsidRPr="002B2F0B">
        <w:rPr>
          <w:b/>
          <w:i/>
          <w:szCs w:val="24"/>
          <w:lang w:eastAsia="fr-FR"/>
        </w:rPr>
        <w:t>1.</w:t>
      </w:r>
      <w:r w:rsidRPr="002B2F0B">
        <w:rPr>
          <w:b/>
          <w:i/>
          <w:szCs w:val="24"/>
          <w:lang w:eastAsia="fr-FR"/>
        </w:rPr>
        <w:tab/>
        <w:t xml:space="preserve">Les données à caractère personnel recueillies, traitées ou transmises au titre du présent règlement sont adéquates, pertinentes et non excessives au regard de la finalité pour laquelle elles ont été recueillies, traitées ou transmises et ne sont utilisées qu'à cette fin. </w:t>
      </w:r>
    </w:p>
    <w:p w:rsidR="002022AB" w:rsidRPr="002B2F0B" w:rsidRDefault="002022AB" w:rsidP="00075179">
      <w:pPr>
        <w:spacing w:before="120" w:after="120" w:line="380" w:lineRule="exact"/>
        <w:ind w:left="851" w:hanging="851"/>
        <w:rPr>
          <w:b/>
          <w:i/>
          <w:szCs w:val="24"/>
          <w:lang w:eastAsia="fr-FR"/>
        </w:rPr>
      </w:pPr>
      <w:r w:rsidRPr="002B2F0B">
        <w:rPr>
          <w:b/>
          <w:i/>
          <w:szCs w:val="24"/>
          <w:lang w:eastAsia="fr-FR"/>
        </w:rPr>
        <w:t>2.</w:t>
      </w:r>
      <w:r w:rsidRPr="002B2F0B">
        <w:rPr>
          <w:b/>
          <w:i/>
          <w:szCs w:val="24"/>
          <w:lang w:eastAsia="fr-FR"/>
        </w:rPr>
        <w:tab/>
        <w:t>L'autorité compétente, l'autorité chargée de l'obtention d'informations et toute autre entité chargée de l'exécution de l'ordonnance de saisie conservatoire ne peuvent conserver les données visées au paragraphe 1 au</w:t>
      </w:r>
      <w:r w:rsidRPr="002B2F0B">
        <w:rPr>
          <w:b/>
          <w:i/>
          <w:szCs w:val="24"/>
          <w:lang w:eastAsia="fr-FR"/>
        </w:rPr>
        <w:noBreakHyphen/>
        <w:t>delà de la période nécessaire pour la finalité pour laquelle elles ont été recueillies, traitées ou transmises et qui n'est en aucun cas supérieure à six mois après la fin de la procédure et, tout au long de cette période, garantissent une protection appropriée de ces données. Le présent paragraphe ne s'applique pas aux données traitées ou stockées par les juridictions dans le cadre de l'exercice de leurs fonctions judiciaires.</w:t>
      </w:r>
    </w:p>
    <w:p w:rsidR="002022AB" w:rsidRPr="002B2F0B" w:rsidRDefault="002022AB" w:rsidP="00075179">
      <w:pPr>
        <w:keepNext/>
        <w:spacing w:before="120" w:after="120" w:line="380" w:lineRule="exact"/>
        <w:jc w:val="center"/>
        <w:rPr>
          <w:bCs/>
          <w:i/>
          <w:iCs/>
          <w:szCs w:val="24"/>
          <w:lang w:eastAsia="fr-FR"/>
        </w:rPr>
      </w:pPr>
      <w:r w:rsidRPr="002B2F0B">
        <w:rPr>
          <w:bCs/>
          <w:szCs w:val="24"/>
          <w:lang w:eastAsia="fr-FR"/>
        </w:rPr>
        <w:br w:type="page"/>
      </w:r>
      <w:r w:rsidRPr="002B2F0B">
        <w:rPr>
          <w:bCs/>
          <w:i/>
          <w:szCs w:val="24"/>
          <w:lang w:eastAsia="fr-FR"/>
        </w:rPr>
        <w:t xml:space="preserve">Article 48 </w:t>
      </w:r>
      <w:r w:rsidRPr="002B2F0B">
        <w:rPr>
          <w:bCs/>
          <w:i/>
          <w:iCs/>
          <w:szCs w:val="24"/>
          <w:lang w:eastAsia="fr-FR"/>
        </w:rPr>
        <w:br/>
      </w:r>
      <w:r w:rsidRPr="002B2F0B">
        <w:rPr>
          <w:bCs/>
          <w:i/>
          <w:szCs w:val="24"/>
          <w:lang w:eastAsia="fr-FR"/>
        </w:rPr>
        <w:t>Relation avec d'autres instruments</w:t>
      </w:r>
    </w:p>
    <w:p w:rsidR="002022AB" w:rsidRPr="002B2F0B" w:rsidRDefault="002022AB" w:rsidP="00075179">
      <w:pPr>
        <w:spacing w:before="120" w:after="120" w:line="380" w:lineRule="exact"/>
        <w:ind w:left="567" w:hanging="567"/>
        <w:jc w:val="both"/>
        <w:rPr>
          <w:b/>
          <w:i/>
          <w:iCs/>
          <w:szCs w:val="24"/>
          <w:lang w:eastAsia="fr-FR"/>
        </w:rPr>
      </w:pPr>
      <w:r w:rsidRPr="002B2F0B">
        <w:rPr>
          <w:bCs/>
          <w:szCs w:val="24"/>
          <w:lang w:eastAsia="fr-FR"/>
        </w:rPr>
        <w:t xml:space="preserve">Le présent règlement </w:t>
      </w:r>
      <w:r w:rsidRPr="002B2F0B">
        <w:rPr>
          <w:b/>
          <w:i/>
          <w:iCs/>
          <w:szCs w:val="24"/>
          <w:lang w:eastAsia="fr-FR"/>
        </w:rPr>
        <w:t>s'entend sans préjudice</w:t>
      </w:r>
      <w:r w:rsidRPr="002B2F0B">
        <w:rPr>
          <w:bCs/>
          <w:szCs w:val="24"/>
          <w:lang w:eastAsia="fr-FR"/>
        </w:rPr>
        <w:t>:</w:t>
      </w:r>
    </w:p>
    <w:p w:rsidR="002022AB" w:rsidRPr="002B2F0B" w:rsidRDefault="002022AB" w:rsidP="00075179">
      <w:pPr>
        <w:spacing w:before="120" w:after="120" w:line="380" w:lineRule="exact"/>
        <w:ind w:left="567" w:hanging="567"/>
        <w:rPr>
          <w:b/>
          <w:i/>
          <w:iCs/>
          <w:szCs w:val="24"/>
          <w:lang w:eastAsia="fr-FR"/>
        </w:rPr>
      </w:pPr>
      <w:r w:rsidRPr="002B2F0B">
        <w:rPr>
          <w:b/>
          <w:i/>
          <w:iCs/>
          <w:szCs w:val="24"/>
          <w:lang w:eastAsia="fr-FR"/>
        </w:rPr>
        <w:t>▌</w:t>
      </w:r>
    </w:p>
    <w:p w:rsidR="002022AB" w:rsidRPr="002B2F0B" w:rsidRDefault="002022AB" w:rsidP="00075179">
      <w:pPr>
        <w:spacing w:before="120" w:after="120" w:line="380" w:lineRule="exact"/>
        <w:ind w:left="567" w:hanging="567"/>
        <w:rPr>
          <w:b/>
          <w:i/>
          <w:iCs/>
          <w:szCs w:val="24"/>
          <w:lang w:eastAsia="fr-FR"/>
        </w:rPr>
      </w:pPr>
      <w:r w:rsidRPr="002B2F0B">
        <w:rPr>
          <w:b/>
          <w:i/>
          <w:iCs/>
          <w:szCs w:val="24"/>
          <w:lang w:eastAsia="fr-FR"/>
        </w:rPr>
        <w:t>a)</w:t>
      </w:r>
      <w:r w:rsidRPr="002B2F0B">
        <w:rPr>
          <w:bCs/>
          <w:szCs w:val="24"/>
          <w:lang w:eastAsia="fr-FR"/>
        </w:rPr>
        <w:tab/>
        <w:t>du règlement (CE) n° 1393/2007 du Parlement européen et du Conseil</w:t>
      </w:r>
      <w:r w:rsidRPr="002B2F0B">
        <w:rPr>
          <w:bCs/>
          <w:szCs w:val="24"/>
          <w:vertAlign w:val="superscript"/>
          <w:lang w:eastAsia="fr-FR"/>
        </w:rPr>
        <w:footnoteReference w:id="77"/>
      </w:r>
      <w:r w:rsidRPr="002B2F0B">
        <w:rPr>
          <w:b/>
          <w:i/>
          <w:iCs/>
          <w:szCs w:val="24"/>
          <w:lang w:eastAsia="fr-FR"/>
        </w:rPr>
        <w:t xml:space="preserve">, sous réserve de ce que prévoient l'article 10, paragraphe 2, l'article 14, paragraphes 3 et 6, l'article 17, paragraphe 5, l'article 23, paragraphes 3 et 6, l'article 25, paragraphes 2 et 3, l'article 28, paragraphes 1, 3, 5 et 6, l'article 29, l'article 33, paragraphe 3, l'article 36, paragraphes 2 et 4, et l'article 49, paragraphe 1, du présent règlement; </w:t>
      </w:r>
    </w:p>
    <w:p w:rsidR="002022AB" w:rsidRPr="002B2F0B" w:rsidRDefault="002022AB" w:rsidP="00075179">
      <w:pPr>
        <w:spacing w:before="120" w:after="120" w:line="380" w:lineRule="exact"/>
        <w:ind w:left="567" w:hanging="567"/>
        <w:jc w:val="both"/>
        <w:rPr>
          <w:b/>
          <w:i/>
          <w:iCs/>
          <w:szCs w:val="24"/>
          <w:lang w:eastAsia="fr-FR"/>
        </w:rPr>
      </w:pPr>
      <w:r w:rsidRPr="002B2F0B">
        <w:rPr>
          <w:b/>
          <w:i/>
          <w:iCs/>
          <w:szCs w:val="24"/>
          <w:lang w:eastAsia="fr-FR"/>
        </w:rPr>
        <w:t>b)</w:t>
      </w:r>
      <w:r w:rsidRPr="002B2F0B">
        <w:rPr>
          <w:b/>
          <w:i/>
          <w:iCs/>
          <w:szCs w:val="24"/>
          <w:lang w:eastAsia="fr-FR"/>
        </w:rPr>
        <w:tab/>
        <w:t>du règlement (UE) n° 1215/2012;</w:t>
      </w:r>
    </w:p>
    <w:p w:rsidR="002022AB" w:rsidRPr="002B2F0B" w:rsidRDefault="002022AB" w:rsidP="00075179">
      <w:pPr>
        <w:spacing w:before="120" w:after="120" w:line="380" w:lineRule="exact"/>
        <w:ind w:left="567" w:hanging="567"/>
        <w:jc w:val="both"/>
        <w:rPr>
          <w:b/>
          <w:i/>
          <w:iCs/>
          <w:szCs w:val="24"/>
          <w:lang w:eastAsia="fr-FR"/>
        </w:rPr>
      </w:pPr>
      <w:r w:rsidRPr="002B2F0B">
        <w:rPr>
          <w:b/>
          <w:i/>
          <w:iCs/>
          <w:szCs w:val="24"/>
          <w:lang w:eastAsia="fr-FR"/>
        </w:rPr>
        <w:br w:type="page"/>
      </w:r>
    </w:p>
    <w:p w:rsidR="002022AB" w:rsidRPr="002B2F0B" w:rsidRDefault="002022AB" w:rsidP="00075179">
      <w:pPr>
        <w:spacing w:before="120" w:after="120" w:line="380" w:lineRule="exact"/>
        <w:ind w:left="567" w:hanging="567"/>
        <w:jc w:val="both"/>
        <w:rPr>
          <w:b/>
          <w:i/>
          <w:iCs/>
          <w:szCs w:val="24"/>
          <w:lang w:eastAsia="fr-FR"/>
        </w:rPr>
      </w:pPr>
      <w:r w:rsidRPr="002B2F0B">
        <w:rPr>
          <w:b/>
          <w:i/>
          <w:iCs/>
          <w:szCs w:val="24"/>
          <w:lang w:eastAsia="fr-FR"/>
        </w:rPr>
        <w:t>c)</w:t>
      </w:r>
      <w:r w:rsidRPr="002B2F0B">
        <w:rPr>
          <w:b/>
          <w:i/>
          <w:iCs/>
          <w:szCs w:val="24"/>
          <w:lang w:eastAsia="fr-FR"/>
        </w:rPr>
        <w:tab/>
        <w:t>du règlement (CE) n° 1346/2000;</w:t>
      </w:r>
    </w:p>
    <w:p w:rsidR="002022AB" w:rsidRPr="002B2F0B" w:rsidRDefault="002022AB" w:rsidP="00075179">
      <w:pPr>
        <w:spacing w:before="120" w:after="120" w:line="380" w:lineRule="exact"/>
        <w:ind w:left="567" w:hanging="567"/>
        <w:rPr>
          <w:b/>
          <w:i/>
          <w:iCs/>
          <w:szCs w:val="24"/>
          <w:lang w:eastAsia="fr-FR"/>
        </w:rPr>
      </w:pPr>
      <w:r w:rsidRPr="002B2F0B">
        <w:rPr>
          <w:b/>
          <w:i/>
          <w:iCs/>
          <w:szCs w:val="24"/>
          <w:lang w:eastAsia="fr-FR"/>
        </w:rPr>
        <w:t>d)</w:t>
      </w:r>
      <w:r w:rsidRPr="002B2F0B">
        <w:rPr>
          <w:b/>
          <w:i/>
          <w:iCs/>
          <w:szCs w:val="24"/>
          <w:lang w:eastAsia="fr-FR"/>
        </w:rPr>
        <w:tab/>
        <w:t>de la directive 95/46/CE, sous réserve de ce que prévoient l'article 14, paragraphe 8, et l'article 47 du présent règlement;</w:t>
      </w:r>
    </w:p>
    <w:p w:rsidR="002022AB" w:rsidRPr="002B2F0B" w:rsidRDefault="002022AB" w:rsidP="00075179">
      <w:pPr>
        <w:spacing w:before="120" w:after="120" w:line="380" w:lineRule="exact"/>
        <w:ind w:left="567" w:hanging="567"/>
        <w:rPr>
          <w:b/>
          <w:i/>
          <w:iCs/>
          <w:szCs w:val="24"/>
          <w:lang w:eastAsia="fr-FR"/>
        </w:rPr>
      </w:pPr>
      <w:r w:rsidRPr="002B2F0B">
        <w:rPr>
          <w:b/>
          <w:i/>
          <w:iCs/>
          <w:szCs w:val="24"/>
          <w:lang w:eastAsia="fr-FR"/>
        </w:rPr>
        <w:t>e)</w:t>
      </w:r>
      <w:r w:rsidRPr="002B2F0B">
        <w:rPr>
          <w:b/>
          <w:i/>
          <w:iCs/>
          <w:szCs w:val="24"/>
          <w:lang w:eastAsia="fr-FR"/>
        </w:rPr>
        <w:tab/>
        <w:t>du règlement (CE) n° 1206/2001 du Parlement européen et du Conseil</w:t>
      </w:r>
      <w:r w:rsidRPr="002B2F0B">
        <w:rPr>
          <w:b/>
          <w:i/>
          <w:iCs/>
          <w:szCs w:val="24"/>
          <w:vertAlign w:val="superscript"/>
          <w:lang w:eastAsia="fr-FR"/>
        </w:rPr>
        <w:footnoteReference w:id="78"/>
      </w:r>
      <w:r w:rsidRPr="002B2F0B">
        <w:rPr>
          <w:b/>
          <w:i/>
          <w:iCs/>
          <w:szCs w:val="24"/>
          <w:lang w:eastAsia="fr-FR"/>
        </w:rPr>
        <w:t>;</w:t>
      </w:r>
    </w:p>
    <w:p w:rsidR="002022AB" w:rsidRPr="002B2F0B" w:rsidRDefault="002022AB" w:rsidP="00075179">
      <w:pPr>
        <w:spacing w:before="120" w:after="120" w:line="380" w:lineRule="exact"/>
        <w:ind w:left="567" w:hanging="567"/>
        <w:rPr>
          <w:b/>
          <w:i/>
          <w:iCs/>
          <w:szCs w:val="24"/>
          <w:lang w:eastAsia="fr-FR"/>
        </w:rPr>
      </w:pPr>
      <w:r w:rsidRPr="002B2F0B">
        <w:rPr>
          <w:b/>
          <w:i/>
          <w:iCs/>
          <w:szCs w:val="24"/>
          <w:lang w:eastAsia="fr-FR"/>
        </w:rPr>
        <w:t>f)</w:t>
      </w:r>
      <w:r w:rsidRPr="002B2F0B">
        <w:rPr>
          <w:b/>
          <w:i/>
          <w:iCs/>
          <w:szCs w:val="24"/>
          <w:lang w:eastAsia="fr-FR"/>
        </w:rPr>
        <w:tab/>
        <w:t>du règlement (CE) n° 864/2007, sous réserve de ce que prévoit l'article 13, paragraphe 4, du présent règlement.</w:t>
      </w:r>
    </w:p>
    <w:p w:rsidR="002022AB" w:rsidRPr="002B2F0B" w:rsidRDefault="002022AB" w:rsidP="00075179">
      <w:pPr>
        <w:spacing w:before="120" w:after="120" w:line="360" w:lineRule="auto"/>
        <w:ind w:left="850"/>
        <w:jc w:val="center"/>
        <w:rPr>
          <w:bCs/>
          <w:i/>
          <w:szCs w:val="24"/>
          <w:lang w:eastAsia="fr-FR"/>
        </w:rPr>
      </w:pPr>
      <w:r w:rsidRPr="002B2F0B">
        <w:rPr>
          <w:bCs/>
          <w:szCs w:val="24"/>
          <w:lang w:eastAsia="fr-FR"/>
        </w:rPr>
        <w:br w:type="page"/>
      </w:r>
      <w:r w:rsidRPr="002B2F0B">
        <w:rPr>
          <w:bCs/>
          <w:i/>
          <w:szCs w:val="24"/>
          <w:lang w:eastAsia="fr-FR"/>
        </w:rPr>
        <w:t xml:space="preserve">Article 49 </w:t>
      </w:r>
      <w:r w:rsidRPr="002B2F0B">
        <w:rPr>
          <w:bCs/>
          <w:i/>
          <w:iCs/>
          <w:szCs w:val="24"/>
          <w:lang w:eastAsia="fr-FR"/>
        </w:rPr>
        <w:br/>
      </w:r>
      <w:r w:rsidRPr="002B2F0B">
        <w:rPr>
          <w:b/>
          <w:i/>
          <w:szCs w:val="24"/>
          <w:lang w:eastAsia="fr-FR"/>
        </w:rPr>
        <w:t>Langues</w:t>
      </w:r>
    </w:p>
    <w:p w:rsidR="002022AB" w:rsidRPr="002B2F0B" w:rsidRDefault="002022AB" w:rsidP="00075179">
      <w:pPr>
        <w:spacing w:before="120" w:after="120" w:line="360" w:lineRule="auto"/>
        <w:rPr>
          <w:bCs/>
          <w:i/>
          <w:szCs w:val="24"/>
          <w:lang w:eastAsia="fr-FR"/>
        </w:rPr>
      </w:pPr>
      <w:r w:rsidRPr="002B2F0B">
        <w:rPr>
          <w:bCs/>
          <w:i/>
          <w:szCs w:val="24"/>
          <w:lang w:eastAsia="fr-FR"/>
        </w:rPr>
        <w:t>▌</w:t>
      </w:r>
    </w:p>
    <w:p w:rsidR="002022AB" w:rsidRPr="002B2F0B" w:rsidRDefault="002022AB" w:rsidP="00075179">
      <w:pPr>
        <w:spacing w:before="120" w:after="120" w:line="360" w:lineRule="auto"/>
        <w:ind w:left="851" w:hanging="851"/>
        <w:rPr>
          <w:b/>
          <w:i/>
          <w:szCs w:val="24"/>
          <w:lang w:eastAsia="fr-FR"/>
        </w:rPr>
      </w:pPr>
      <w:r w:rsidRPr="002B2F0B">
        <w:rPr>
          <w:b/>
          <w:i/>
          <w:szCs w:val="24"/>
          <w:lang w:eastAsia="fr-FR"/>
        </w:rPr>
        <w:t>1.</w:t>
      </w:r>
      <w:r w:rsidRPr="002B2F0B">
        <w:rPr>
          <w:b/>
          <w:i/>
          <w:szCs w:val="24"/>
          <w:lang w:eastAsia="fr-FR"/>
        </w:rPr>
        <w:tab/>
        <w:t xml:space="preserve">Tous les documents énumérés à l'article 28, paragraphe 5, points a) et b), devant être signifiés ou notifiés au débiteur et qui ne sont pas rédigés dans la langue officielle de l'État membre dans lequel le débiteur est domicilié ou, lorsque ledit État membre compte plusieurs langues officielles, dans la langue officielle ou une des langues officielles du lieu du domicile du débiteur ou dans une autre langue comprise par lui, sont accompagnés d'une traduction ou d'une translittération dans une de ces langues. Les documents énumérés à l'article 28, paragraphe 5, point c), ne sont pas traduits, à moins que la juridiction ne décide, à titre exceptionnel, que certains documents doivent être traduits ou translittérés pour permettre au débiteur de faire valoir ses droits. </w:t>
      </w:r>
    </w:p>
    <w:p w:rsidR="002022AB" w:rsidRPr="002B2F0B" w:rsidRDefault="002022AB" w:rsidP="00075179">
      <w:pPr>
        <w:spacing w:before="120" w:after="120" w:line="360" w:lineRule="auto"/>
        <w:ind w:left="851" w:hanging="851"/>
        <w:rPr>
          <w:bCs/>
          <w:szCs w:val="24"/>
          <w:lang w:eastAsia="fr-FR"/>
        </w:rPr>
      </w:pPr>
      <w:r w:rsidRPr="002B2F0B">
        <w:rPr>
          <w:bCs/>
          <w:szCs w:val="24"/>
          <w:lang w:eastAsia="fr-FR"/>
        </w:rPr>
        <w:t>2.</w:t>
      </w:r>
      <w:r w:rsidRPr="002B2F0B">
        <w:rPr>
          <w:bCs/>
          <w:szCs w:val="24"/>
          <w:lang w:eastAsia="fr-FR"/>
        </w:rPr>
        <w:tab/>
      </w:r>
      <w:r w:rsidRPr="002B2F0B">
        <w:rPr>
          <w:b/>
          <w:i/>
          <w:iCs/>
          <w:szCs w:val="24"/>
          <w:lang w:eastAsia="fr-FR"/>
        </w:rPr>
        <w:t xml:space="preserve">Tout document devant être adressé au titre du présent règlement à une juridiction ou à une autorité compétente peut également être rédigé dans toute </w:t>
      </w:r>
      <w:r w:rsidRPr="002B2F0B">
        <w:rPr>
          <w:bCs/>
          <w:szCs w:val="24"/>
          <w:lang w:eastAsia="fr-FR"/>
        </w:rPr>
        <w:t>autre langue officielle des institutions de l'Union ▌</w:t>
      </w:r>
      <w:r w:rsidRPr="002B2F0B">
        <w:rPr>
          <w:b/>
          <w:i/>
          <w:iCs/>
          <w:szCs w:val="24"/>
          <w:lang w:eastAsia="fr-FR"/>
        </w:rPr>
        <w:t>, si</w:t>
      </w:r>
      <w:r w:rsidRPr="002B2F0B">
        <w:rPr>
          <w:bCs/>
          <w:szCs w:val="24"/>
          <w:lang w:eastAsia="fr-FR"/>
        </w:rPr>
        <w:t xml:space="preserve"> l'État membre concerné a indiqué pouvoir accepter une telle autre langue. </w:t>
      </w:r>
    </w:p>
    <w:p w:rsidR="002022AB" w:rsidRPr="002B2F0B" w:rsidRDefault="002022AB" w:rsidP="00075179">
      <w:pPr>
        <w:spacing w:before="120" w:after="120" w:line="360" w:lineRule="auto"/>
        <w:ind w:left="851" w:hanging="851"/>
        <w:rPr>
          <w:bCs/>
          <w:szCs w:val="24"/>
          <w:lang w:eastAsia="fr-FR"/>
        </w:rPr>
      </w:pPr>
      <w:r w:rsidRPr="002B2F0B">
        <w:rPr>
          <w:bCs/>
          <w:szCs w:val="24"/>
          <w:lang w:eastAsia="fr-FR"/>
        </w:rPr>
        <w:t>3.</w:t>
      </w:r>
      <w:r w:rsidRPr="002B2F0B">
        <w:rPr>
          <w:bCs/>
          <w:szCs w:val="24"/>
          <w:lang w:eastAsia="fr-FR"/>
        </w:rPr>
        <w:tab/>
        <w:t>Toute traduction faite au titre du présent règlement l'est par une personne habilitée à effectuer des traductions dans l'un des États membres.</w:t>
      </w:r>
    </w:p>
    <w:p w:rsidR="002022AB" w:rsidRPr="002B2F0B" w:rsidRDefault="002022AB" w:rsidP="00075179">
      <w:pPr>
        <w:keepNext/>
        <w:spacing w:before="360" w:after="120" w:line="360" w:lineRule="auto"/>
        <w:jc w:val="center"/>
        <w:rPr>
          <w:bCs/>
          <w:i/>
          <w:iCs/>
          <w:szCs w:val="24"/>
          <w:lang w:eastAsia="fr-FR"/>
        </w:rPr>
      </w:pPr>
      <w:r w:rsidRPr="002B2F0B">
        <w:rPr>
          <w:bCs/>
          <w:szCs w:val="24"/>
          <w:lang w:eastAsia="fr-FR"/>
        </w:rPr>
        <w:br w:type="page"/>
      </w:r>
      <w:r w:rsidRPr="002B2F0B">
        <w:rPr>
          <w:bCs/>
          <w:i/>
          <w:szCs w:val="24"/>
          <w:lang w:eastAsia="fr-FR"/>
        </w:rPr>
        <w:t xml:space="preserve">Article 50 </w:t>
      </w:r>
      <w:r w:rsidRPr="002B2F0B">
        <w:rPr>
          <w:bCs/>
          <w:i/>
          <w:iCs/>
          <w:szCs w:val="24"/>
          <w:lang w:eastAsia="fr-FR"/>
        </w:rPr>
        <w:br/>
      </w:r>
      <w:r w:rsidRPr="002B2F0B">
        <w:rPr>
          <w:bCs/>
          <w:i/>
          <w:szCs w:val="24"/>
          <w:lang w:eastAsia="fr-FR"/>
        </w:rPr>
        <w:t>Informations à fournir par les États membres</w:t>
      </w:r>
    </w:p>
    <w:p w:rsidR="002022AB" w:rsidRPr="002B2F0B" w:rsidRDefault="002022AB" w:rsidP="00075179">
      <w:pPr>
        <w:spacing w:before="120" w:after="120" w:line="360" w:lineRule="auto"/>
        <w:ind w:left="851" w:hanging="851"/>
        <w:rPr>
          <w:bCs/>
          <w:szCs w:val="24"/>
          <w:lang w:eastAsia="fr-FR"/>
        </w:rPr>
      </w:pPr>
      <w:r w:rsidRPr="002B2F0B">
        <w:rPr>
          <w:bCs/>
          <w:szCs w:val="24"/>
          <w:lang w:eastAsia="fr-FR"/>
        </w:rPr>
        <w:t>1.</w:t>
      </w:r>
      <w:r w:rsidRPr="002B2F0B">
        <w:rPr>
          <w:bCs/>
          <w:szCs w:val="24"/>
          <w:lang w:eastAsia="fr-FR"/>
        </w:rPr>
        <w:tab/>
        <w:t>Au plus tard le …</w:t>
      </w:r>
      <w:r w:rsidRPr="002B2F0B">
        <w:rPr>
          <w:b/>
          <w:szCs w:val="24"/>
          <w:vertAlign w:val="superscript"/>
          <w:lang w:eastAsia="fr-FR"/>
        </w:rPr>
        <w:footnoteReference w:customMarkFollows="1" w:id="79"/>
        <w:t>*</w:t>
      </w:r>
      <w:r w:rsidRPr="002B2F0B">
        <w:rPr>
          <w:bCs/>
          <w:szCs w:val="24"/>
          <w:lang w:eastAsia="fr-FR"/>
        </w:rPr>
        <w:t>, les États membres notifient les informations suivantes à la Commission:</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a)</w:t>
      </w:r>
      <w:r w:rsidRPr="002B2F0B">
        <w:rPr>
          <w:bCs/>
          <w:szCs w:val="24"/>
          <w:lang w:eastAsia="fr-FR"/>
        </w:rPr>
        <w:tab/>
      </w:r>
      <w:r w:rsidRPr="002B2F0B">
        <w:rPr>
          <w:b/>
          <w:i/>
          <w:iCs/>
          <w:szCs w:val="24"/>
          <w:lang w:eastAsia="fr-FR"/>
        </w:rPr>
        <w:t>les juridictions désignées comme</w:t>
      </w:r>
      <w:r w:rsidRPr="002B2F0B">
        <w:rPr>
          <w:bCs/>
          <w:szCs w:val="24"/>
          <w:lang w:eastAsia="fr-FR"/>
        </w:rPr>
        <w:t xml:space="preserve"> </w:t>
      </w:r>
      <w:r w:rsidRPr="002B2F0B">
        <w:rPr>
          <w:b/>
          <w:i/>
          <w:iCs/>
          <w:szCs w:val="24"/>
          <w:lang w:eastAsia="fr-FR"/>
        </w:rPr>
        <w:t>étant</w:t>
      </w:r>
      <w:r w:rsidRPr="002B2F0B">
        <w:rPr>
          <w:bCs/>
          <w:szCs w:val="24"/>
          <w:lang w:eastAsia="fr-FR"/>
        </w:rPr>
        <w:t xml:space="preserve"> compétente</w:t>
      </w:r>
      <w:r w:rsidRPr="002B2F0B">
        <w:rPr>
          <w:b/>
          <w:i/>
          <w:iCs/>
          <w:szCs w:val="24"/>
          <w:lang w:eastAsia="fr-FR"/>
        </w:rPr>
        <w:t>s</w:t>
      </w:r>
      <w:r w:rsidRPr="002B2F0B">
        <w:rPr>
          <w:bCs/>
          <w:szCs w:val="24"/>
          <w:lang w:eastAsia="fr-FR"/>
        </w:rPr>
        <w:t xml:space="preserve"> pour délivrer une </w:t>
      </w:r>
      <w:r w:rsidRPr="002B2F0B">
        <w:rPr>
          <w:b/>
          <w:i/>
          <w:iCs/>
          <w:szCs w:val="24"/>
          <w:lang w:eastAsia="fr-FR"/>
        </w:rPr>
        <w:t>ordonnance de saisie conservatoire</w:t>
      </w:r>
      <w:r w:rsidRPr="002B2F0B">
        <w:rPr>
          <w:bCs/>
          <w:szCs w:val="24"/>
          <w:lang w:eastAsia="fr-FR"/>
        </w:rPr>
        <w:t xml:space="preserve"> </w:t>
      </w:r>
      <w:r w:rsidRPr="002B2F0B">
        <w:rPr>
          <w:b/>
          <w:i/>
          <w:iCs/>
          <w:szCs w:val="24"/>
          <w:lang w:eastAsia="fr-FR"/>
        </w:rPr>
        <w:t>(</w:t>
      </w:r>
      <w:r w:rsidRPr="002B2F0B">
        <w:rPr>
          <w:bCs/>
          <w:szCs w:val="24"/>
          <w:lang w:eastAsia="fr-FR"/>
        </w:rPr>
        <w:t xml:space="preserve">article </w:t>
      </w:r>
      <w:r w:rsidRPr="002B2F0B">
        <w:rPr>
          <w:b/>
          <w:i/>
          <w:iCs/>
          <w:szCs w:val="24"/>
          <w:lang w:eastAsia="fr-FR"/>
        </w:rPr>
        <w:t>6</w:t>
      </w:r>
      <w:r w:rsidRPr="002B2F0B">
        <w:rPr>
          <w:bCs/>
          <w:szCs w:val="24"/>
          <w:lang w:eastAsia="fr-FR"/>
        </w:rPr>
        <w:t xml:space="preserve">, paragraphe </w:t>
      </w:r>
      <w:r w:rsidRPr="002B2F0B">
        <w:rPr>
          <w:b/>
          <w:i/>
          <w:iCs/>
          <w:szCs w:val="24"/>
          <w:lang w:eastAsia="fr-FR"/>
        </w:rPr>
        <w:t>4)</w:t>
      </w:r>
      <w:r w:rsidRPr="002B2F0B">
        <w:rPr>
          <w:bCs/>
          <w:szCs w:val="24"/>
          <w:lang w:eastAsia="fr-FR"/>
        </w:rPr>
        <w:t>;</w:t>
      </w:r>
    </w:p>
    <w:p w:rsidR="002022AB" w:rsidRPr="002B2F0B" w:rsidRDefault="002022AB" w:rsidP="00075179">
      <w:pPr>
        <w:spacing w:before="120" w:after="120" w:line="360" w:lineRule="auto"/>
        <w:ind w:left="1418" w:hanging="567"/>
        <w:rPr>
          <w:b/>
          <w:i/>
          <w:iCs/>
          <w:szCs w:val="24"/>
          <w:lang w:eastAsia="fr-FR"/>
        </w:rPr>
      </w:pPr>
      <w:r w:rsidRPr="002B2F0B">
        <w:rPr>
          <w:b/>
          <w:i/>
          <w:iCs/>
          <w:szCs w:val="24"/>
          <w:lang w:eastAsia="fr-FR"/>
        </w:rPr>
        <w:t>b)</w:t>
      </w:r>
      <w:r w:rsidRPr="002B2F0B">
        <w:rPr>
          <w:b/>
          <w:i/>
          <w:iCs/>
          <w:szCs w:val="24"/>
          <w:lang w:eastAsia="fr-FR"/>
        </w:rPr>
        <w:tab/>
        <w:t xml:space="preserve">l'autorité désignée comme étant compétente pour l'obtention d'informations relatives aux comptes (article 14); </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c)</w:t>
      </w:r>
      <w:r w:rsidRPr="002B2F0B">
        <w:rPr>
          <w:bCs/>
          <w:szCs w:val="24"/>
          <w:lang w:eastAsia="fr-FR"/>
        </w:rPr>
        <w:tab/>
        <w:t xml:space="preserve">les méthodes d'obtention d'informations </w:t>
      </w:r>
      <w:r w:rsidRPr="002B2F0B">
        <w:rPr>
          <w:b/>
          <w:i/>
          <w:iCs/>
          <w:szCs w:val="24"/>
          <w:lang w:eastAsia="fr-FR"/>
        </w:rPr>
        <w:t xml:space="preserve">relatives aux comptes </w:t>
      </w:r>
      <w:r w:rsidRPr="002B2F0B">
        <w:rPr>
          <w:bCs/>
          <w:szCs w:val="24"/>
          <w:lang w:eastAsia="fr-FR"/>
        </w:rPr>
        <w:t>prévues par leur droit national ▌</w:t>
      </w:r>
      <w:r w:rsidRPr="002B2F0B">
        <w:rPr>
          <w:iCs/>
          <w:szCs w:val="24"/>
          <w:lang w:eastAsia="fr-FR"/>
        </w:rPr>
        <w:t>(</w:t>
      </w:r>
      <w:r w:rsidRPr="002B2F0B">
        <w:rPr>
          <w:bCs/>
          <w:szCs w:val="24"/>
          <w:lang w:eastAsia="fr-FR"/>
        </w:rPr>
        <w:t>article 14, paragraphe </w:t>
      </w:r>
      <w:r w:rsidRPr="002B2F0B">
        <w:rPr>
          <w:b/>
          <w:i/>
          <w:iCs/>
          <w:szCs w:val="24"/>
          <w:lang w:eastAsia="fr-FR"/>
        </w:rPr>
        <w:t>5</w:t>
      </w:r>
      <w:r w:rsidRPr="002B2F0B">
        <w:rPr>
          <w:iCs/>
          <w:szCs w:val="24"/>
          <w:lang w:eastAsia="fr-FR"/>
        </w:rPr>
        <w:t>)</w:t>
      </w:r>
      <w:r w:rsidRPr="002B2F0B">
        <w:rPr>
          <w:bCs/>
          <w:szCs w:val="24"/>
          <w:lang w:eastAsia="fr-FR"/>
        </w:rPr>
        <w:t>;</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d)</w:t>
      </w:r>
      <w:r w:rsidRPr="002B2F0B">
        <w:rPr>
          <w:bCs/>
          <w:szCs w:val="24"/>
          <w:lang w:eastAsia="fr-FR"/>
        </w:rPr>
        <w:tab/>
        <w:t>l</w:t>
      </w:r>
      <w:r w:rsidRPr="002B2F0B">
        <w:rPr>
          <w:b/>
          <w:i/>
          <w:iCs/>
          <w:szCs w:val="24"/>
          <w:lang w:eastAsia="fr-FR"/>
        </w:rPr>
        <w:t>es</w:t>
      </w:r>
      <w:r w:rsidRPr="002B2F0B">
        <w:rPr>
          <w:bCs/>
          <w:szCs w:val="24"/>
          <w:lang w:eastAsia="fr-FR"/>
        </w:rPr>
        <w:t xml:space="preserve"> juridiction</w:t>
      </w:r>
      <w:r w:rsidRPr="002B2F0B">
        <w:rPr>
          <w:b/>
          <w:i/>
          <w:iCs/>
          <w:szCs w:val="24"/>
          <w:lang w:eastAsia="fr-FR"/>
        </w:rPr>
        <w:t>s</w:t>
      </w:r>
      <w:r w:rsidRPr="002B2F0B">
        <w:rPr>
          <w:bCs/>
          <w:szCs w:val="24"/>
          <w:lang w:eastAsia="fr-FR"/>
        </w:rPr>
        <w:t xml:space="preserve"> devant l</w:t>
      </w:r>
      <w:r w:rsidRPr="002B2F0B">
        <w:rPr>
          <w:b/>
          <w:i/>
          <w:iCs/>
          <w:szCs w:val="24"/>
          <w:lang w:eastAsia="fr-FR"/>
        </w:rPr>
        <w:t>es</w:t>
      </w:r>
      <w:r w:rsidRPr="002B2F0B">
        <w:rPr>
          <w:bCs/>
          <w:szCs w:val="24"/>
          <w:lang w:eastAsia="fr-FR"/>
        </w:rPr>
        <w:t>quelle</w:t>
      </w:r>
      <w:r w:rsidRPr="002B2F0B">
        <w:rPr>
          <w:b/>
          <w:i/>
          <w:iCs/>
          <w:szCs w:val="24"/>
          <w:lang w:eastAsia="fr-FR"/>
        </w:rPr>
        <w:t>s</w:t>
      </w:r>
      <w:r w:rsidRPr="002B2F0B">
        <w:rPr>
          <w:bCs/>
          <w:szCs w:val="24"/>
          <w:lang w:eastAsia="fr-FR"/>
        </w:rPr>
        <w:t xml:space="preserve"> il peut être interjeté appel ▌</w:t>
      </w:r>
      <w:r w:rsidRPr="002B2F0B">
        <w:rPr>
          <w:iCs/>
          <w:szCs w:val="24"/>
          <w:lang w:eastAsia="fr-FR"/>
        </w:rPr>
        <w:t>(</w:t>
      </w:r>
      <w:r w:rsidRPr="002B2F0B">
        <w:rPr>
          <w:bCs/>
          <w:szCs w:val="24"/>
          <w:lang w:eastAsia="fr-FR"/>
        </w:rPr>
        <w:t>article 21</w:t>
      </w:r>
      <w:r w:rsidRPr="002B2F0B">
        <w:rPr>
          <w:iCs/>
          <w:szCs w:val="24"/>
          <w:lang w:eastAsia="fr-FR"/>
        </w:rPr>
        <w:t>)</w:t>
      </w:r>
      <w:r w:rsidRPr="002B2F0B">
        <w:rPr>
          <w:bCs/>
          <w:szCs w:val="24"/>
          <w:lang w:eastAsia="fr-FR"/>
        </w:rPr>
        <w:t xml:space="preserve">; </w:t>
      </w:r>
    </w:p>
    <w:p w:rsidR="002022AB" w:rsidRPr="002B2F0B" w:rsidRDefault="002022AB" w:rsidP="00075179">
      <w:pPr>
        <w:spacing w:before="120" w:after="120" w:line="360" w:lineRule="auto"/>
        <w:ind w:left="1418" w:hanging="567"/>
        <w:rPr>
          <w:b/>
          <w:i/>
          <w:iCs/>
          <w:szCs w:val="24"/>
          <w:lang w:eastAsia="fr-FR"/>
        </w:rPr>
      </w:pPr>
      <w:r w:rsidRPr="002B2F0B">
        <w:rPr>
          <w:b/>
          <w:i/>
          <w:iCs/>
          <w:szCs w:val="24"/>
          <w:lang w:eastAsia="fr-FR"/>
        </w:rPr>
        <w:t>e)</w:t>
      </w:r>
      <w:r w:rsidRPr="002B2F0B">
        <w:rPr>
          <w:b/>
          <w:i/>
          <w:iCs/>
          <w:szCs w:val="24"/>
          <w:lang w:eastAsia="fr-FR"/>
        </w:rPr>
        <w:tab/>
        <w:t>l'autorité ou les autorités désignées comme étant compétentes pour la réception, la transmission et la signification ou la notification de l'ordonnance de saisie conservatoire et d'autres documents au titre du présent règlement (article 4, point 14));</w:t>
      </w:r>
    </w:p>
    <w:p w:rsidR="002022AB" w:rsidRPr="002B2F0B" w:rsidRDefault="002022AB" w:rsidP="00075179">
      <w:pPr>
        <w:spacing w:before="120" w:after="120" w:line="360" w:lineRule="auto"/>
        <w:ind w:left="1418" w:hanging="567"/>
        <w:rPr>
          <w:b/>
          <w:i/>
          <w:iCs/>
          <w:szCs w:val="24"/>
          <w:lang w:eastAsia="fr-FR"/>
        </w:rPr>
      </w:pPr>
      <w:r w:rsidRPr="002B2F0B">
        <w:rPr>
          <w:b/>
          <w:i/>
          <w:iCs/>
          <w:szCs w:val="24"/>
          <w:lang w:eastAsia="fr-FR"/>
        </w:rPr>
        <w:br w:type="page"/>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f)</w:t>
      </w:r>
      <w:r w:rsidRPr="002B2F0B">
        <w:rPr>
          <w:bCs/>
          <w:szCs w:val="24"/>
          <w:lang w:eastAsia="fr-FR"/>
        </w:rPr>
        <w:tab/>
        <w:t>l'autorité compétente pour exécuter l'</w:t>
      </w:r>
      <w:r w:rsidRPr="002B2F0B">
        <w:rPr>
          <w:b/>
          <w:i/>
          <w:iCs/>
          <w:szCs w:val="24"/>
          <w:lang w:eastAsia="fr-FR"/>
        </w:rPr>
        <w:t>ordonnance de saisie conservatoire</w:t>
      </w:r>
      <w:r w:rsidRPr="002B2F0B">
        <w:rPr>
          <w:bCs/>
          <w:szCs w:val="24"/>
          <w:lang w:eastAsia="fr-FR"/>
        </w:rPr>
        <w:t xml:space="preserve"> conformément au chapitre 3;</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g)</w:t>
      </w:r>
      <w:r w:rsidRPr="002B2F0B">
        <w:rPr>
          <w:bCs/>
          <w:szCs w:val="24"/>
          <w:lang w:eastAsia="fr-FR"/>
        </w:rPr>
        <w:tab/>
        <w:t>la mesure dans laquelle les comptes joints et les comptes de mandataire peuvent faire l'objet d'une saisie conservatoire au titre de leur droit national ▌</w:t>
      </w:r>
      <w:r w:rsidRPr="002B2F0B">
        <w:rPr>
          <w:iCs/>
          <w:szCs w:val="24"/>
          <w:lang w:eastAsia="fr-FR"/>
        </w:rPr>
        <w:t>(</w:t>
      </w:r>
      <w:r w:rsidRPr="002B2F0B">
        <w:rPr>
          <w:bCs/>
          <w:szCs w:val="24"/>
          <w:lang w:eastAsia="fr-FR"/>
        </w:rPr>
        <w:t>article 30</w:t>
      </w:r>
      <w:r w:rsidRPr="002B2F0B">
        <w:rPr>
          <w:iCs/>
          <w:szCs w:val="24"/>
          <w:lang w:eastAsia="fr-FR"/>
        </w:rPr>
        <w:t>)</w:t>
      </w:r>
      <w:r w:rsidRPr="002B2F0B">
        <w:rPr>
          <w:bCs/>
          <w:szCs w:val="24"/>
          <w:lang w:eastAsia="fr-FR"/>
        </w:rPr>
        <w:t xml:space="preserve">; </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h)</w:t>
      </w:r>
      <w:r w:rsidRPr="002B2F0B">
        <w:rPr>
          <w:bCs/>
          <w:szCs w:val="24"/>
          <w:lang w:eastAsia="fr-FR"/>
        </w:rPr>
        <w:tab/>
        <w:t xml:space="preserve">les règles applicables aux montants exemptés </w:t>
      </w:r>
      <w:r w:rsidRPr="002B2F0B">
        <w:rPr>
          <w:b/>
          <w:i/>
          <w:iCs/>
          <w:szCs w:val="24"/>
          <w:lang w:eastAsia="fr-FR"/>
        </w:rPr>
        <w:t>de saisie</w:t>
      </w:r>
      <w:r w:rsidRPr="002B2F0B">
        <w:rPr>
          <w:bCs/>
          <w:szCs w:val="24"/>
          <w:lang w:eastAsia="fr-FR"/>
        </w:rPr>
        <w:t xml:space="preserve"> au titre du droit national ▌</w:t>
      </w:r>
      <w:r w:rsidRPr="002B2F0B">
        <w:rPr>
          <w:iCs/>
          <w:szCs w:val="24"/>
          <w:lang w:eastAsia="fr-FR"/>
        </w:rPr>
        <w:t>(</w:t>
      </w:r>
      <w:r w:rsidRPr="002B2F0B">
        <w:rPr>
          <w:bCs/>
          <w:szCs w:val="24"/>
          <w:lang w:eastAsia="fr-FR"/>
        </w:rPr>
        <w:t>article 31</w:t>
      </w:r>
      <w:r w:rsidRPr="002B2F0B">
        <w:rPr>
          <w:iCs/>
          <w:szCs w:val="24"/>
          <w:lang w:eastAsia="fr-FR"/>
        </w:rPr>
        <w:t>)</w:t>
      </w:r>
      <w:r w:rsidRPr="002B2F0B">
        <w:rPr>
          <w:bCs/>
          <w:szCs w:val="24"/>
          <w:lang w:eastAsia="fr-FR"/>
        </w:rPr>
        <w:t xml:space="preserve">; </w:t>
      </w:r>
    </w:p>
    <w:p w:rsidR="002022AB" w:rsidRPr="002B2F0B" w:rsidRDefault="002022AB" w:rsidP="00075179">
      <w:pPr>
        <w:spacing w:before="120" w:after="120" w:line="360" w:lineRule="auto"/>
        <w:ind w:left="1418" w:hanging="567"/>
        <w:rPr>
          <w:b/>
          <w:i/>
          <w:iCs/>
          <w:szCs w:val="24"/>
          <w:lang w:eastAsia="fr-FR"/>
        </w:rPr>
      </w:pPr>
      <w:r w:rsidRPr="002B2F0B">
        <w:rPr>
          <w:b/>
          <w:i/>
          <w:iCs/>
          <w:szCs w:val="24"/>
          <w:lang w:eastAsia="fr-FR"/>
        </w:rPr>
        <w:t>i)</w:t>
      </w:r>
      <w:r w:rsidRPr="002B2F0B">
        <w:rPr>
          <w:b/>
          <w:i/>
          <w:iCs/>
          <w:szCs w:val="24"/>
          <w:lang w:eastAsia="fr-FR"/>
        </w:rPr>
        <w:tab/>
        <w:t>si, en vertu de leur droit national, les banques ont le droit de facturer des frais pour la mise en œuvre d’ordonnances équivalentes sur le plan national ou pour fournir des informations relatives aux comptes et, si tel est le cas, l’indication de la partie qui est tenue de supporter ces frais, provisoirement et définitivement (article 43);</w:t>
      </w:r>
    </w:p>
    <w:p w:rsidR="002022AB" w:rsidRPr="002B2F0B" w:rsidRDefault="002022AB" w:rsidP="00075179">
      <w:pPr>
        <w:spacing w:before="120" w:after="120" w:line="360" w:lineRule="auto"/>
        <w:ind w:left="1418" w:hanging="567"/>
        <w:rPr>
          <w:b/>
          <w:i/>
          <w:iCs/>
          <w:szCs w:val="24"/>
          <w:lang w:eastAsia="fr-FR"/>
        </w:rPr>
      </w:pPr>
      <w:r w:rsidRPr="002B2F0B">
        <w:rPr>
          <w:b/>
          <w:i/>
          <w:iCs/>
          <w:szCs w:val="24"/>
          <w:lang w:eastAsia="fr-FR"/>
        </w:rPr>
        <w:t>▌</w:t>
      </w:r>
    </w:p>
    <w:p w:rsidR="002022AB" w:rsidRPr="002B2F0B" w:rsidRDefault="002022AB" w:rsidP="00075179">
      <w:pPr>
        <w:spacing w:before="120" w:after="120" w:line="360" w:lineRule="auto"/>
        <w:ind w:left="1418" w:hanging="567"/>
        <w:rPr>
          <w:b/>
          <w:i/>
          <w:iCs/>
          <w:szCs w:val="24"/>
          <w:lang w:eastAsia="fr-FR"/>
        </w:rPr>
      </w:pPr>
      <w:r w:rsidRPr="002B2F0B">
        <w:rPr>
          <w:bCs/>
          <w:szCs w:val="24"/>
          <w:lang w:eastAsia="fr-FR"/>
        </w:rPr>
        <w:br w:type="page"/>
      </w:r>
      <w:r w:rsidRPr="002B2F0B">
        <w:rPr>
          <w:b/>
          <w:i/>
          <w:iCs/>
          <w:szCs w:val="24"/>
          <w:lang w:eastAsia="fr-FR"/>
        </w:rPr>
        <w:t>j)</w:t>
      </w:r>
      <w:r w:rsidRPr="002B2F0B">
        <w:rPr>
          <w:b/>
          <w:i/>
          <w:iCs/>
          <w:szCs w:val="24"/>
          <w:lang w:eastAsia="fr-FR"/>
        </w:rPr>
        <w:tab/>
        <w:t xml:space="preserve">le barème des frais ou un autre ensemble de règles établissant les frais applicables facturés par toute autorité ou tout organisme participant au traitement ou à l'exécution de l'ordonnance de saisie conservatoire (article 44); </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k)</w:t>
      </w:r>
      <w:r w:rsidRPr="002B2F0B">
        <w:rPr>
          <w:bCs/>
          <w:szCs w:val="24"/>
          <w:lang w:eastAsia="fr-FR"/>
        </w:rPr>
        <w:tab/>
      </w:r>
      <w:r w:rsidRPr="002B2F0B">
        <w:rPr>
          <w:b/>
          <w:i/>
          <w:iCs/>
          <w:szCs w:val="24"/>
          <w:lang w:eastAsia="fr-FR"/>
        </w:rPr>
        <w:t>si un rang éventuel</w:t>
      </w:r>
      <w:r w:rsidRPr="002B2F0B">
        <w:rPr>
          <w:bCs/>
          <w:szCs w:val="24"/>
          <w:lang w:eastAsia="fr-FR"/>
        </w:rPr>
        <w:t xml:space="preserve"> </w:t>
      </w:r>
      <w:r w:rsidRPr="002B2F0B">
        <w:rPr>
          <w:b/>
          <w:i/>
          <w:iCs/>
          <w:szCs w:val="24"/>
          <w:lang w:eastAsia="fr-FR"/>
        </w:rPr>
        <w:t>est conféré aux ordonnances équivalentes sur le plan national au titre du</w:t>
      </w:r>
      <w:r w:rsidRPr="002B2F0B">
        <w:rPr>
          <w:bCs/>
          <w:szCs w:val="24"/>
          <w:lang w:eastAsia="fr-FR"/>
        </w:rPr>
        <w:t xml:space="preserve"> droit national ▌</w:t>
      </w:r>
      <w:r w:rsidRPr="002B2F0B">
        <w:rPr>
          <w:iCs/>
          <w:szCs w:val="24"/>
          <w:lang w:eastAsia="fr-FR"/>
        </w:rPr>
        <w:t>(</w:t>
      </w:r>
      <w:r w:rsidRPr="002B2F0B">
        <w:rPr>
          <w:bCs/>
          <w:szCs w:val="24"/>
          <w:lang w:eastAsia="fr-FR"/>
        </w:rPr>
        <w:t>article 32</w:t>
      </w:r>
      <w:r w:rsidRPr="002B2F0B">
        <w:rPr>
          <w:iCs/>
          <w:szCs w:val="24"/>
          <w:lang w:eastAsia="fr-FR"/>
        </w:rPr>
        <w:t>)</w:t>
      </w:r>
      <w:r w:rsidRPr="002B2F0B">
        <w:rPr>
          <w:bCs/>
          <w:szCs w:val="24"/>
          <w:lang w:eastAsia="fr-FR"/>
        </w:rPr>
        <w:t>;</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l)</w:t>
      </w:r>
      <w:r w:rsidRPr="002B2F0B">
        <w:rPr>
          <w:bCs/>
          <w:szCs w:val="24"/>
          <w:lang w:eastAsia="fr-FR"/>
        </w:rPr>
        <w:tab/>
        <w:t xml:space="preserve">les juridictions </w:t>
      </w:r>
      <w:r w:rsidRPr="002B2F0B">
        <w:rPr>
          <w:b/>
          <w:i/>
          <w:iCs/>
          <w:szCs w:val="24"/>
          <w:lang w:eastAsia="fr-FR"/>
        </w:rPr>
        <w:t>ou, le cas échéant, l'autorité d'exécution, compétentes pour faire droit à un recours (</w:t>
      </w:r>
      <w:r w:rsidRPr="002B2F0B">
        <w:rPr>
          <w:bCs/>
          <w:szCs w:val="24"/>
          <w:lang w:eastAsia="fr-FR"/>
        </w:rPr>
        <w:t xml:space="preserve">article </w:t>
      </w:r>
      <w:r w:rsidRPr="002B2F0B">
        <w:rPr>
          <w:b/>
          <w:i/>
          <w:iCs/>
          <w:szCs w:val="24"/>
          <w:lang w:eastAsia="fr-FR"/>
        </w:rPr>
        <w:t>33, paragraphe 1, article 34, paragraphe 1 ou 2)</w:t>
      </w:r>
      <w:r w:rsidRPr="002B2F0B">
        <w:rPr>
          <w:bCs/>
          <w:szCs w:val="24"/>
          <w:lang w:eastAsia="fr-FR"/>
        </w:rPr>
        <w:t>;</w:t>
      </w:r>
    </w:p>
    <w:p w:rsidR="002022AB" w:rsidRPr="002B2F0B" w:rsidRDefault="002022AB" w:rsidP="00075179">
      <w:pPr>
        <w:spacing w:before="120" w:after="120" w:line="360" w:lineRule="auto"/>
        <w:ind w:left="1418" w:hanging="567"/>
        <w:rPr>
          <w:b/>
          <w:i/>
          <w:iCs/>
          <w:szCs w:val="24"/>
          <w:lang w:eastAsia="fr-FR"/>
        </w:rPr>
      </w:pPr>
      <w:r w:rsidRPr="002B2F0B">
        <w:rPr>
          <w:b/>
          <w:i/>
          <w:iCs/>
          <w:szCs w:val="24"/>
          <w:lang w:eastAsia="fr-FR"/>
        </w:rPr>
        <w:t>m)</w:t>
      </w:r>
      <w:r w:rsidRPr="002B2F0B">
        <w:rPr>
          <w:b/>
          <w:i/>
          <w:iCs/>
          <w:szCs w:val="24"/>
          <w:lang w:eastAsia="fr-FR"/>
        </w:rPr>
        <w:tab/>
        <w:t xml:space="preserve">les juridictions devant lesquelles il peut être interjeté appel, le délai, s'il est prescrit, dans lequel cet appel doit être interjeté au titre du droit national et l'événement qui constitue le point de départ dudit délai (article 37); </w:t>
      </w:r>
    </w:p>
    <w:p w:rsidR="002022AB" w:rsidRPr="002B2F0B" w:rsidRDefault="002022AB" w:rsidP="00075179">
      <w:pPr>
        <w:spacing w:before="120" w:after="120" w:line="360" w:lineRule="auto"/>
        <w:ind w:left="1418" w:hanging="567"/>
        <w:rPr>
          <w:b/>
          <w:i/>
          <w:iCs/>
          <w:szCs w:val="24"/>
          <w:lang w:eastAsia="fr-FR"/>
        </w:rPr>
      </w:pPr>
      <w:r w:rsidRPr="002B2F0B">
        <w:rPr>
          <w:bCs/>
          <w:szCs w:val="24"/>
          <w:lang w:eastAsia="fr-FR"/>
        </w:rPr>
        <w:t>n)</w:t>
      </w:r>
      <w:r w:rsidRPr="002B2F0B">
        <w:rPr>
          <w:bCs/>
          <w:szCs w:val="24"/>
          <w:lang w:eastAsia="fr-FR"/>
        </w:rPr>
        <w:tab/>
      </w:r>
      <w:r w:rsidRPr="002B2F0B">
        <w:rPr>
          <w:b/>
          <w:i/>
          <w:iCs/>
          <w:szCs w:val="24"/>
          <w:lang w:eastAsia="fr-FR"/>
        </w:rPr>
        <w:t>une indication des</w:t>
      </w:r>
      <w:r w:rsidRPr="002B2F0B">
        <w:rPr>
          <w:bCs/>
          <w:szCs w:val="24"/>
          <w:lang w:eastAsia="fr-FR"/>
        </w:rPr>
        <w:t xml:space="preserve"> frais de justice ▌</w:t>
      </w:r>
      <w:r w:rsidRPr="002B2F0B">
        <w:rPr>
          <w:iCs/>
          <w:szCs w:val="24"/>
          <w:lang w:eastAsia="fr-FR"/>
        </w:rPr>
        <w:t>(</w:t>
      </w:r>
      <w:r w:rsidRPr="002B2F0B">
        <w:rPr>
          <w:bCs/>
          <w:szCs w:val="24"/>
          <w:lang w:eastAsia="fr-FR"/>
        </w:rPr>
        <w:t>article 42</w:t>
      </w:r>
      <w:r w:rsidRPr="002B2F0B">
        <w:rPr>
          <w:iCs/>
          <w:szCs w:val="24"/>
          <w:lang w:eastAsia="fr-FR"/>
        </w:rPr>
        <w:t>)</w:t>
      </w:r>
      <w:r w:rsidRPr="002B2F0B">
        <w:rPr>
          <w:bCs/>
          <w:szCs w:val="24"/>
          <w:lang w:eastAsia="fr-FR"/>
        </w:rPr>
        <w:t xml:space="preserve">; </w:t>
      </w:r>
      <w:r w:rsidRPr="002B2F0B">
        <w:rPr>
          <w:b/>
          <w:i/>
          <w:iCs/>
          <w:szCs w:val="24"/>
          <w:lang w:eastAsia="fr-FR"/>
        </w:rPr>
        <w:t>et</w:t>
      </w:r>
    </w:p>
    <w:p w:rsidR="002022AB" w:rsidRPr="002B2F0B" w:rsidRDefault="002022AB" w:rsidP="00075179">
      <w:pPr>
        <w:spacing w:before="120" w:after="120" w:line="360" w:lineRule="auto"/>
        <w:ind w:left="1418" w:hanging="567"/>
        <w:rPr>
          <w:bCs/>
          <w:szCs w:val="24"/>
          <w:lang w:eastAsia="fr-FR"/>
        </w:rPr>
      </w:pPr>
      <w:r w:rsidRPr="002B2F0B">
        <w:rPr>
          <w:bCs/>
          <w:szCs w:val="24"/>
          <w:lang w:eastAsia="fr-FR"/>
        </w:rPr>
        <w:t>o)</w:t>
      </w:r>
      <w:r w:rsidRPr="002B2F0B">
        <w:rPr>
          <w:bCs/>
          <w:szCs w:val="24"/>
          <w:lang w:eastAsia="fr-FR"/>
        </w:rPr>
        <w:tab/>
        <w:t>les langues acceptées pour la traduction des documents ▌</w:t>
      </w:r>
      <w:r w:rsidRPr="002B2F0B">
        <w:rPr>
          <w:iCs/>
          <w:szCs w:val="24"/>
          <w:lang w:eastAsia="fr-FR"/>
        </w:rPr>
        <w:t>(</w:t>
      </w:r>
      <w:r w:rsidRPr="002B2F0B">
        <w:rPr>
          <w:bCs/>
          <w:szCs w:val="24"/>
          <w:lang w:eastAsia="fr-FR"/>
        </w:rPr>
        <w:t>article 49</w:t>
      </w:r>
      <w:r w:rsidRPr="002B2F0B">
        <w:rPr>
          <w:b/>
          <w:i/>
          <w:iCs/>
          <w:szCs w:val="24"/>
          <w:lang w:eastAsia="fr-FR"/>
        </w:rPr>
        <w:t>, paragraphe 2</w:t>
      </w:r>
      <w:r w:rsidRPr="002B2F0B">
        <w:rPr>
          <w:iCs/>
          <w:szCs w:val="24"/>
          <w:lang w:eastAsia="fr-FR"/>
        </w:rPr>
        <w:t>)</w:t>
      </w:r>
      <w:r w:rsidRPr="002B2F0B">
        <w:rPr>
          <w:bCs/>
          <w:szCs w:val="24"/>
          <w:lang w:eastAsia="fr-FR"/>
        </w:rPr>
        <w:t xml:space="preserve">. </w:t>
      </w:r>
    </w:p>
    <w:p w:rsidR="002022AB" w:rsidRPr="002B2F0B" w:rsidRDefault="002022AB" w:rsidP="00075179">
      <w:pPr>
        <w:spacing w:before="120" w:after="120" w:line="360" w:lineRule="auto"/>
        <w:ind w:left="851" w:hanging="851"/>
        <w:rPr>
          <w:bCs/>
          <w:szCs w:val="24"/>
          <w:lang w:eastAsia="fr-FR"/>
        </w:rPr>
      </w:pPr>
      <w:r w:rsidRPr="002B2F0B">
        <w:rPr>
          <w:bCs/>
          <w:szCs w:val="24"/>
          <w:lang w:eastAsia="fr-FR"/>
        </w:rPr>
        <w:t>▌</w:t>
      </w:r>
      <w:r w:rsidRPr="002B2F0B">
        <w:rPr>
          <w:bCs/>
          <w:szCs w:val="24"/>
          <w:lang w:eastAsia="fr-FR"/>
        </w:rPr>
        <w:tab/>
      </w:r>
    </w:p>
    <w:p w:rsidR="002022AB" w:rsidRPr="002B2F0B" w:rsidRDefault="002022AB" w:rsidP="00075179">
      <w:pPr>
        <w:spacing w:before="120" w:after="120" w:line="360" w:lineRule="auto"/>
        <w:ind w:left="851" w:hanging="851"/>
        <w:rPr>
          <w:b/>
          <w:i/>
          <w:iCs/>
          <w:szCs w:val="24"/>
          <w:lang w:eastAsia="fr-FR"/>
        </w:rPr>
      </w:pPr>
      <w:r w:rsidRPr="002B2F0B">
        <w:rPr>
          <w:bCs/>
          <w:szCs w:val="24"/>
          <w:lang w:eastAsia="fr-FR"/>
        </w:rPr>
        <w:tab/>
      </w:r>
      <w:r w:rsidRPr="002B2F0B">
        <w:rPr>
          <w:b/>
          <w:i/>
          <w:iCs/>
          <w:szCs w:val="24"/>
          <w:lang w:eastAsia="fr-FR"/>
        </w:rPr>
        <w:t>Les États membres notifient à la Commission toute modification ultérieure de ces informations.</w:t>
      </w:r>
    </w:p>
    <w:p w:rsidR="002022AB" w:rsidRPr="002B2F0B" w:rsidRDefault="002022AB" w:rsidP="00075179">
      <w:pPr>
        <w:spacing w:before="120" w:after="120" w:line="360" w:lineRule="auto"/>
        <w:ind w:left="851" w:hanging="851"/>
        <w:rPr>
          <w:b/>
          <w:i/>
          <w:iCs/>
          <w:szCs w:val="24"/>
          <w:lang w:eastAsia="fr-FR"/>
        </w:rPr>
      </w:pPr>
      <w:r w:rsidRPr="002B2F0B">
        <w:rPr>
          <w:b/>
          <w:i/>
          <w:iCs/>
          <w:szCs w:val="24"/>
          <w:lang w:eastAsia="fr-FR"/>
        </w:rPr>
        <w:br w:type="page"/>
      </w:r>
    </w:p>
    <w:p w:rsidR="002022AB" w:rsidRPr="002B2F0B" w:rsidRDefault="002022AB" w:rsidP="00075179">
      <w:pPr>
        <w:spacing w:before="120" w:after="120" w:line="360" w:lineRule="auto"/>
        <w:ind w:left="851" w:hanging="851"/>
        <w:rPr>
          <w:bCs/>
          <w:szCs w:val="24"/>
          <w:lang w:eastAsia="fr-FR"/>
        </w:rPr>
      </w:pPr>
      <w:r w:rsidRPr="002B2F0B">
        <w:rPr>
          <w:bCs/>
          <w:szCs w:val="24"/>
          <w:lang w:eastAsia="fr-FR"/>
        </w:rPr>
        <w:t>2.</w:t>
      </w:r>
      <w:r w:rsidRPr="002B2F0B">
        <w:rPr>
          <w:bCs/>
          <w:szCs w:val="24"/>
          <w:lang w:eastAsia="fr-FR"/>
        </w:rPr>
        <w:tab/>
        <w:t>La Commission rend les informations ▌accessibles au public par tout moyen approprié, notamment par l’intermédiaire du réseau judiciaire européen en matière civile et commerciale ▌.</w:t>
      </w:r>
    </w:p>
    <w:p w:rsidR="002022AB" w:rsidRPr="002B2F0B" w:rsidRDefault="002022AB" w:rsidP="00075179">
      <w:pPr>
        <w:spacing w:before="120" w:after="120" w:line="360" w:lineRule="auto"/>
        <w:ind w:left="851" w:hanging="851"/>
        <w:rPr>
          <w:bCs/>
          <w:szCs w:val="24"/>
          <w:lang w:eastAsia="fr-FR"/>
        </w:rPr>
      </w:pPr>
      <w:r w:rsidRPr="002B2F0B">
        <w:rPr>
          <w:bCs/>
          <w:szCs w:val="24"/>
          <w:lang w:eastAsia="fr-FR"/>
        </w:rPr>
        <w:t>▌</w:t>
      </w:r>
    </w:p>
    <w:p w:rsidR="002022AB" w:rsidRPr="002B2F0B" w:rsidRDefault="002022AB" w:rsidP="00075179">
      <w:pPr>
        <w:keepNext/>
        <w:spacing w:before="360" w:after="120" w:line="360" w:lineRule="auto"/>
        <w:jc w:val="center"/>
        <w:rPr>
          <w:b/>
          <w:i/>
          <w:szCs w:val="24"/>
          <w:lang w:eastAsia="fr-FR"/>
        </w:rPr>
      </w:pPr>
      <w:r w:rsidRPr="002B2F0B">
        <w:rPr>
          <w:b/>
          <w:i/>
          <w:szCs w:val="24"/>
          <w:lang w:eastAsia="fr-FR"/>
        </w:rPr>
        <w:t xml:space="preserve">Article 51 </w:t>
      </w:r>
      <w:r w:rsidRPr="002B2F0B">
        <w:rPr>
          <w:b/>
          <w:i/>
          <w:szCs w:val="24"/>
          <w:lang w:eastAsia="fr-FR"/>
        </w:rPr>
        <w:br/>
        <w:t xml:space="preserve">Établissement et modification ultérieure des formulaires </w:t>
      </w:r>
    </w:p>
    <w:p w:rsidR="002022AB" w:rsidRPr="002B2F0B" w:rsidRDefault="002022AB" w:rsidP="00075179">
      <w:pPr>
        <w:widowControl w:val="0"/>
        <w:spacing w:line="360" w:lineRule="auto"/>
        <w:rPr>
          <w:b/>
          <w:i/>
          <w:szCs w:val="24"/>
          <w:lang w:eastAsia="fr-FR"/>
        </w:rPr>
      </w:pPr>
      <w:r w:rsidRPr="002B2F0B">
        <w:rPr>
          <w:b/>
          <w:i/>
          <w:szCs w:val="24"/>
          <w:lang w:eastAsia="fr-FR"/>
        </w:rPr>
        <w:t>La Commission adopte des actes d'exécution établissant et modifiant ultérieurement les formulaires visés à l'article 8, paragraphe 1, à l'article 10, paragraphe 2, à l'article 19, paragraphe 1, à l'article 25, paragraphe 1, à l'article 27, paragraphe 2, à l'article 29, paragraphe 2, à l'article 36, paragraphe 1, à l'article 36, paragraphe 5, deuxième et troisième alinéas, et à l'article 37. Ces actes d'exécution sont adoptés en conformité avec la procédure consultative visée à l'article 52, paragraphe 2.</w:t>
      </w:r>
    </w:p>
    <w:p w:rsidR="002022AB" w:rsidRPr="002B2F0B" w:rsidRDefault="002022AB" w:rsidP="00075179">
      <w:pPr>
        <w:widowControl w:val="0"/>
        <w:spacing w:before="120" w:after="120" w:line="360" w:lineRule="auto"/>
        <w:rPr>
          <w:b/>
          <w:i/>
          <w:szCs w:val="24"/>
          <w:lang w:eastAsia="fr-FR"/>
        </w:rPr>
      </w:pPr>
      <w:r w:rsidRPr="002B2F0B">
        <w:rPr>
          <w:b/>
          <w:i/>
          <w:szCs w:val="24"/>
          <w:lang w:eastAsia="fr-FR"/>
        </w:rPr>
        <w:t>▌</w:t>
      </w:r>
    </w:p>
    <w:p w:rsidR="002022AB" w:rsidRPr="002B2F0B" w:rsidRDefault="002022AB" w:rsidP="00075179">
      <w:pPr>
        <w:widowControl w:val="0"/>
        <w:spacing w:before="120" w:after="120" w:line="360" w:lineRule="auto"/>
        <w:rPr>
          <w:b/>
          <w:i/>
          <w:szCs w:val="24"/>
          <w:lang w:eastAsia="fr-FR"/>
        </w:rPr>
      </w:pPr>
      <w:r w:rsidRPr="002B2F0B">
        <w:rPr>
          <w:b/>
          <w:i/>
          <w:szCs w:val="24"/>
          <w:lang w:eastAsia="fr-FR"/>
        </w:rPr>
        <w:br w:type="page"/>
      </w:r>
    </w:p>
    <w:p w:rsidR="002022AB" w:rsidRPr="002B2F0B" w:rsidRDefault="002022AB" w:rsidP="00075179">
      <w:pPr>
        <w:keepNext/>
        <w:spacing w:before="360" w:after="120" w:line="360" w:lineRule="auto"/>
        <w:jc w:val="center"/>
        <w:outlineLvl w:val="0"/>
        <w:rPr>
          <w:b/>
          <w:i/>
          <w:szCs w:val="24"/>
          <w:lang w:eastAsia="fr-FR"/>
        </w:rPr>
      </w:pPr>
      <w:r w:rsidRPr="002B2F0B">
        <w:rPr>
          <w:b/>
          <w:i/>
          <w:szCs w:val="24"/>
          <w:lang w:eastAsia="fr-FR"/>
        </w:rPr>
        <w:t>Article 52</w:t>
      </w:r>
      <w:r w:rsidRPr="002B2F0B">
        <w:rPr>
          <w:b/>
          <w:i/>
          <w:szCs w:val="24"/>
          <w:lang w:eastAsia="fr-FR"/>
        </w:rPr>
        <w:br/>
        <w:t>Comité</w:t>
      </w:r>
    </w:p>
    <w:p w:rsidR="002022AB" w:rsidRPr="002B2F0B" w:rsidRDefault="002022AB" w:rsidP="00075179">
      <w:pPr>
        <w:spacing w:before="120" w:after="120" w:line="360" w:lineRule="auto"/>
        <w:ind w:left="851" w:hanging="851"/>
        <w:rPr>
          <w:b/>
          <w:i/>
          <w:szCs w:val="24"/>
          <w:lang w:eastAsia="fr-FR"/>
        </w:rPr>
      </w:pPr>
      <w:r w:rsidRPr="002B2F0B">
        <w:rPr>
          <w:b/>
          <w:i/>
          <w:szCs w:val="24"/>
          <w:lang w:eastAsia="fr-FR"/>
        </w:rPr>
        <w:t>1.</w:t>
      </w:r>
      <w:r w:rsidRPr="002B2F0B">
        <w:rPr>
          <w:b/>
          <w:i/>
          <w:szCs w:val="24"/>
          <w:lang w:eastAsia="fr-FR"/>
        </w:rPr>
        <w:tab/>
        <w:t xml:space="preserve">La Commission est assistée par un comité. Ledit comité est un comité au sens du règlement (UE) n° 182/2011. </w:t>
      </w:r>
    </w:p>
    <w:p w:rsidR="002022AB" w:rsidRPr="002B2F0B" w:rsidRDefault="002022AB" w:rsidP="00075179">
      <w:pPr>
        <w:spacing w:before="120" w:after="120" w:line="360" w:lineRule="auto"/>
        <w:ind w:left="851" w:hanging="851"/>
        <w:rPr>
          <w:b/>
          <w:i/>
          <w:szCs w:val="24"/>
          <w:lang w:eastAsia="fr-FR"/>
        </w:rPr>
      </w:pPr>
      <w:r w:rsidRPr="002B2F0B">
        <w:rPr>
          <w:b/>
          <w:i/>
          <w:szCs w:val="24"/>
          <w:lang w:eastAsia="fr-FR"/>
        </w:rPr>
        <w:t>2.</w:t>
      </w:r>
      <w:r w:rsidRPr="002B2F0B">
        <w:rPr>
          <w:b/>
          <w:i/>
          <w:szCs w:val="24"/>
          <w:lang w:eastAsia="fr-FR"/>
        </w:rPr>
        <w:tab/>
        <w:t xml:space="preserve">Lorsqu'il est fait référence au présent paragraphe, l'article 4 du règlement (UE) n° 182/2011 s'applique. </w:t>
      </w:r>
    </w:p>
    <w:p w:rsidR="002022AB" w:rsidRPr="002B2F0B" w:rsidRDefault="002022AB" w:rsidP="00075179">
      <w:pPr>
        <w:keepNext/>
        <w:spacing w:before="360" w:after="120" w:line="360" w:lineRule="auto"/>
        <w:jc w:val="center"/>
        <w:rPr>
          <w:i/>
          <w:iCs/>
          <w:szCs w:val="24"/>
          <w:lang w:eastAsia="fr-FR"/>
        </w:rPr>
      </w:pPr>
      <w:r w:rsidRPr="002B2F0B">
        <w:rPr>
          <w:i/>
          <w:szCs w:val="24"/>
          <w:lang w:eastAsia="fr-FR"/>
        </w:rPr>
        <w:t xml:space="preserve">Article 53 </w:t>
      </w:r>
      <w:r w:rsidRPr="002B2F0B">
        <w:rPr>
          <w:i/>
          <w:iCs/>
          <w:szCs w:val="24"/>
          <w:lang w:eastAsia="fr-FR"/>
        </w:rPr>
        <w:br/>
      </w:r>
      <w:r w:rsidRPr="002B2F0B">
        <w:rPr>
          <w:i/>
          <w:szCs w:val="24"/>
          <w:lang w:eastAsia="fr-FR"/>
        </w:rPr>
        <w:t>Suivi et réexamen</w:t>
      </w:r>
    </w:p>
    <w:p w:rsidR="002022AB" w:rsidRPr="002B2F0B" w:rsidRDefault="002022AB" w:rsidP="00075179">
      <w:pPr>
        <w:spacing w:before="120" w:after="120" w:line="360" w:lineRule="auto"/>
        <w:ind w:left="851" w:hanging="851"/>
        <w:rPr>
          <w:szCs w:val="24"/>
          <w:lang w:eastAsia="fr-FR"/>
        </w:rPr>
      </w:pPr>
      <w:r w:rsidRPr="002B2F0B">
        <w:rPr>
          <w:szCs w:val="24"/>
          <w:lang w:eastAsia="fr-FR"/>
        </w:rPr>
        <w:t>1.</w:t>
      </w:r>
      <w:r w:rsidRPr="002B2F0B">
        <w:rPr>
          <w:szCs w:val="24"/>
          <w:lang w:eastAsia="fr-FR"/>
        </w:rPr>
        <w:tab/>
        <w:t>Au plus tard le ...</w:t>
      </w:r>
      <w:r w:rsidRPr="002B2F0B">
        <w:rPr>
          <w:b/>
          <w:bCs/>
          <w:szCs w:val="24"/>
          <w:vertAlign w:val="superscript"/>
          <w:lang w:eastAsia="fr-FR"/>
        </w:rPr>
        <w:footnoteReference w:customMarkFollows="1" w:id="80"/>
        <w:t>*</w:t>
      </w:r>
      <w:r w:rsidRPr="002B2F0B">
        <w:rPr>
          <w:szCs w:val="24"/>
          <w:lang w:eastAsia="fr-FR"/>
        </w:rPr>
        <w:t xml:space="preserve">, la Commission </w:t>
      </w:r>
      <w:r w:rsidRPr="002B2F0B">
        <w:rPr>
          <w:b/>
          <w:bCs/>
          <w:i/>
          <w:iCs/>
          <w:szCs w:val="24"/>
          <w:lang w:eastAsia="fr-FR"/>
        </w:rPr>
        <w:t>soumet</w:t>
      </w:r>
      <w:r w:rsidRPr="002B2F0B">
        <w:rPr>
          <w:szCs w:val="24"/>
          <w:lang w:eastAsia="fr-FR"/>
        </w:rPr>
        <w:t xml:space="preserve"> au Parlement européen, au Conseil et au Comité économique et social européen un rapport sur l'application du présent règlement, comportant une évaluation</w:t>
      </w:r>
      <w:r w:rsidRPr="002B2F0B">
        <w:rPr>
          <w:b/>
          <w:bCs/>
          <w:i/>
          <w:iCs/>
          <w:szCs w:val="24"/>
          <w:lang w:eastAsia="fr-FR"/>
        </w:rPr>
        <w:t xml:space="preserve"> sur l'opportunité :</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a)</w:t>
      </w:r>
      <w:r w:rsidRPr="002B2F0B">
        <w:rPr>
          <w:b/>
          <w:bCs/>
          <w:i/>
          <w:iCs/>
          <w:szCs w:val="24"/>
          <w:lang w:eastAsia="fr-FR"/>
        </w:rPr>
        <w:tab/>
        <w:t>d'inclure les instruments financiers dans le champ d'application du présent règlement; et</w:t>
      </w:r>
    </w:p>
    <w:p w:rsidR="002022AB" w:rsidRPr="002B2F0B" w:rsidRDefault="002022AB" w:rsidP="00075179">
      <w:pPr>
        <w:spacing w:before="120" w:after="120" w:line="360" w:lineRule="auto"/>
        <w:ind w:left="1418" w:hanging="567"/>
        <w:rPr>
          <w:b/>
          <w:bCs/>
          <w:i/>
          <w:iCs/>
          <w:szCs w:val="24"/>
          <w:lang w:eastAsia="fr-FR"/>
        </w:rPr>
      </w:pPr>
      <w:r w:rsidRPr="002B2F0B">
        <w:rPr>
          <w:b/>
          <w:bCs/>
          <w:i/>
          <w:iCs/>
          <w:szCs w:val="24"/>
          <w:lang w:eastAsia="fr-FR"/>
        </w:rPr>
        <w:t>b)</w:t>
      </w:r>
      <w:r w:rsidRPr="002B2F0B">
        <w:rPr>
          <w:b/>
          <w:bCs/>
          <w:i/>
          <w:iCs/>
          <w:szCs w:val="24"/>
          <w:lang w:eastAsia="fr-FR"/>
        </w:rPr>
        <w:tab/>
        <w:t>de soumettre à la saisie conservatoire en vertu de l’ordonnance de saisie conservatoire les montants crédités sur le compte du débiteur après la mise en œuvre de l'ordonnance.</w:t>
      </w:r>
    </w:p>
    <w:p w:rsidR="002022AB" w:rsidRPr="002B2F0B" w:rsidRDefault="002022AB" w:rsidP="00075179">
      <w:pPr>
        <w:spacing w:before="120" w:after="120" w:line="360" w:lineRule="auto"/>
        <w:ind w:left="851"/>
        <w:rPr>
          <w:szCs w:val="24"/>
          <w:lang w:eastAsia="fr-FR"/>
        </w:rPr>
      </w:pPr>
      <w:r w:rsidRPr="002B2F0B">
        <w:rPr>
          <w:szCs w:val="24"/>
          <w:lang w:eastAsia="fr-FR"/>
        </w:rPr>
        <w:t xml:space="preserve">Ce rapport est accompagné, le cas échéant, </w:t>
      </w:r>
      <w:r w:rsidRPr="002B2F0B">
        <w:rPr>
          <w:b/>
          <w:bCs/>
          <w:i/>
          <w:iCs/>
          <w:szCs w:val="24"/>
          <w:lang w:eastAsia="fr-FR"/>
        </w:rPr>
        <w:t>d'une proposition de modification</w:t>
      </w:r>
      <w:r w:rsidRPr="002B2F0B">
        <w:rPr>
          <w:szCs w:val="24"/>
          <w:lang w:eastAsia="fr-FR"/>
        </w:rPr>
        <w:t xml:space="preserve"> du présent règlement </w:t>
      </w:r>
      <w:r w:rsidRPr="002B2F0B">
        <w:rPr>
          <w:b/>
          <w:bCs/>
          <w:i/>
          <w:iCs/>
          <w:szCs w:val="24"/>
          <w:lang w:eastAsia="fr-FR"/>
        </w:rPr>
        <w:t>et d'une évaluation de l'impact des modifications à introduire</w:t>
      </w:r>
      <w:r w:rsidRPr="002B2F0B">
        <w:rPr>
          <w:szCs w:val="24"/>
          <w:lang w:eastAsia="fr-FR"/>
        </w:rPr>
        <w:t xml:space="preserve">. </w:t>
      </w:r>
    </w:p>
    <w:p w:rsidR="002022AB" w:rsidRPr="002B2F0B" w:rsidRDefault="002022AB" w:rsidP="00075179">
      <w:pPr>
        <w:spacing w:before="120" w:after="120"/>
        <w:ind w:left="851" w:hanging="851"/>
        <w:jc w:val="both"/>
        <w:rPr>
          <w:szCs w:val="24"/>
          <w:lang w:eastAsia="fr-FR"/>
        </w:rPr>
      </w:pPr>
      <w:r w:rsidRPr="002B2F0B">
        <w:rPr>
          <w:szCs w:val="24"/>
          <w:lang w:eastAsia="fr-FR"/>
        </w:rPr>
        <w:t>▌</w:t>
      </w:r>
    </w:p>
    <w:p w:rsidR="002022AB" w:rsidRPr="002B2F0B" w:rsidRDefault="002022AB" w:rsidP="00075179">
      <w:pPr>
        <w:spacing w:before="120" w:after="120"/>
        <w:ind w:left="851" w:hanging="851"/>
        <w:jc w:val="both"/>
        <w:rPr>
          <w:szCs w:val="24"/>
          <w:lang w:eastAsia="fr-FR"/>
        </w:rPr>
      </w:pPr>
      <w:r w:rsidRPr="002B2F0B">
        <w:rPr>
          <w:szCs w:val="24"/>
          <w:lang w:eastAsia="fr-FR"/>
        </w:rPr>
        <w:br w:type="page"/>
      </w:r>
    </w:p>
    <w:p w:rsidR="002022AB" w:rsidRPr="002B2F0B" w:rsidRDefault="002022AB" w:rsidP="00075179">
      <w:pPr>
        <w:spacing w:before="120" w:after="120" w:line="360" w:lineRule="auto"/>
        <w:ind w:left="851" w:hanging="851"/>
        <w:rPr>
          <w:szCs w:val="24"/>
          <w:lang w:eastAsia="fr-FR"/>
        </w:rPr>
      </w:pPr>
      <w:r w:rsidRPr="002B2F0B">
        <w:rPr>
          <w:szCs w:val="24"/>
          <w:lang w:eastAsia="fr-FR"/>
        </w:rPr>
        <w:t>2.</w:t>
      </w:r>
      <w:r w:rsidRPr="002B2F0B">
        <w:rPr>
          <w:szCs w:val="24"/>
          <w:lang w:eastAsia="fr-FR"/>
        </w:rPr>
        <w:tab/>
      </w:r>
      <w:r w:rsidRPr="002B2F0B">
        <w:rPr>
          <w:b/>
          <w:bCs/>
          <w:i/>
          <w:iCs/>
          <w:szCs w:val="24"/>
          <w:lang w:eastAsia="fr-FR"/>
        </w:rPr>
        <w:t>Aux fins du paragraphe 1, l</w:t>
      </w:r>
      <w:r w:rsidRPr="002B2F0B">
        <w:rPr>
          <w:szCs w:val="24"/>
          <w:lang w:eastAsia="fr-FR"/>
        </w:rPr>
        <w:t>es États membres recueillent et mettent à la disposition de la Commission</w:t>
      </w:r>
      <w:r w:rsidRPr="002B2F0B">
        <w:rPr>
          <w:b/>
          <w:bCs/>
          <w:i/>
          <w:iCs/>
          <w:szCs w:val="24"/>
          <w:lang w:eastAsia="fr-FR"/>
        </w:rPr>
        <w:t>, sur demande,</w:t>
      </w:r>
      <w:r w:rsidRPr="002B2F0B">
        <w:rPr>
          <w:szCs w:val="24"/>
          <w:lang w:eastAsia="fr-FR"/>
        </w:rPr>
        <w:t xml:space="preserve"> des informations sur: </w:t>
      </w:r>
    </w:p>
    <w:p w:rsidR="002022AB" w:rsidRPr="002B2F0B" w:rsidRDefault="002022AB" w:rsidP="00075179">
      <w:pPr>
        <w:spacing w:before="120" w:after="120" w:line="360" w:lineRule="auto"/>
        <w:ind w:left="1418" w:hanging="567"/>
        <w:rPr>
          <w:szCs w:val="24"/>
          <w:lang w:eastAsia="fr-FR"/>
        </w:rPr>
      </w:pPr>
      <w:r w:rsidRPr="002B2F0B">
        <w:rPr>
          <w:szCs w:val="24"/>
          <w:lang w:eastAsia="fr-FR"/>
        </w:rPr>
        <w:t>a)</w:t>
      </w:r>
      <w:r w:rsidRPr="002B2F0B">
        <w:rPr>
          <w:szCs w:val="24"/>
          <w:lang w:eastAsia="fr-FR"/>
        </w:rPr>
        <w:tab/>
        <w:t>le nombre de demandes d'</w:t>
      </w:r>
      <w:r w:rsidRPr="002B2F0B">
        <w:rPr>
          <w:b/>
          <w:bCs/>
          <w:i/>
          <w:iCs/>
          <w:szCs w:val="24"/>
          <w:lang w:eastAsia="fr-FR"/>
        </w:rPr>
        <w:t>ordonnances de saisie conservatoire</w:t>
      </w:r>
      <w:r w:rsidRPr="002B2F0B">
        <w:rPr>
          <w:szCs w:val="24"/>
          <w:lang w:eastAsia="fr-FR"/>
        </w:rPr>
        <w:t xml:space="preserve"> </w:t>
      </w:r>
      <w:r w:rsidRPr="002B2F0B">
        <w:rPr>
          <w:b/>
          <w:bCs/>
          <w:i/>
          <w:iCs/>
          <w:szCs w:val="24"/>
          <w:lang w:eastAsia="fr-FR"/>
        </w:rPr>
        <w:t>et</w:t>
      </w:r>
      <w:r w:rsidRPr="002B2F0B">
        <w:rPr>
          <w:szCs w:val="24"/>
          <w:lang w:eastAsia="fr-FR"/>
        </w:rPr>
        <w:t xml:space="preserve"> le nombre de cas dans lesquels l'ordonnance a été délivrée ▌; </w:t>
      </w:r>
    </w:p>
    <w:p w:rsidR="002022AB" w:rsidRPr="002B2F0B" w:rsidRDefault="002022AB" w:rsidP="00075179">
      <w:pPr>
        <w:spacing w:before="120" w:after="120" w:line="360" w:lineRule="auto"/>
        <w:ind w:left="1418" w:hanging="567"/>
        <w:rPr>
          <w:szCs w:val="24"/>
          <w:lang w:eastAsia="fr-FR"/>
        </w:rPr>
      </w:pPr>
      <w:r w:rsidRPr="002B2F0B">
        <w:rPr>
          <w:szCs w:val="24"/>
          <w:lang w:eastAsia="fr-FR"/>
        </w:rPr>
        <w:t>b)</w:t>
      </w:r>
      <w:r w:rsidRPr="002B2F0B">
        <w:rPr>
          <w:szCs w:val="24"/>
          <w:lang w:eastAsia="fr-FR"/>
        </w:rPr>
        <w:tab/>
        <w:t xml:space="preserve">le nombre de demandes de </w:t>
      </w:r>
      <w:r w:rsidRPr="002B2F0B">
        <w:rPr>
          <w:b/>
          <w:bCs/>
          <w:i/>
          <w:iCs/>
          <w:szCs w:val="24"/>
          <w:lang w:eastAsia="fr-FR"/>
        </w:rPr>
        <w:t>recours introduites</w:t>
      </w:r>
      <w:r w:rsidRPr="002B2F0B">
        <w:rPr>
          <w:szCs w:val="24"/>
          <w:lang w:eastAsia="fr-FR"/>
        </w:rPr>
        <w:t xml:space="preserve"> en vertu des articles 33</w:t>
      </w:r>
      <w:r w:rsidRPr="002B2F0B">
        <w:rPr>
          <w:b/>
          <w:bCs/>
          <w:i/>
          <w:iCs/>
          <w:szCs w:val="24"/>
          <w:lang w:eastAsia="fr-FR"/>
        </w:rPr>
        <w:t xml:space="preserve"> et</w:t>
      </w:r>
      <w:r w:rsidRPr="002B2F0B">
        <w:rPr>
          <w:szCs w:val="24"/>
          <w:lang w:eastAsia="fr-FR"/>
        </w:rPr>
        <w:t xml:space="preserve"> 34 et</w:t>
      </w:r>
      <w:r w:rsidRPr="002B2F0B">
        <w:rPr>
          <w:b/>
          <w:bCs/>
          <w:i/>
          <w:iCs/>
          <w:szCs w:val="24"/>
          <w:lang w:eastAsia="fr-FR"/>
        </w:rPr>
        <w:t>, si possible, le nombre de cas dans lesquels il a été fait droit au recours; et</w:t>
      </w:r>
    </w:p>
    <w:p w:rsidR="002022AB" w:rsidRPr="002B2F0B" w:rsidRDefault="002022AB" w:rsidP="00075179">
      <w:pPr>
        <w:spacing w:before="120" w:after="120" w:line="360" w:lineRule="auto"/>
        <w:ind w:left="1418" w:hanging="567"/>
        <w:rPr>
          <w:szCs w:val="24"/>
          <w:lang w:eastAsia="fr-FR"/>
        </w:rPr>
      </w:pPr>
      <w:r w:rsidRPr="002B2F0B">
        <w:rPr>
          <w:b/>
          <w:i/>
          <w:iCs/>
          <w:szCs w:val="24"/>
          <w:lang w:eastAsia="fr-FR"/>
        </w:rPr>
        <w:t>c)</w:t>
      </w:r>
      <w:r w:rsidRPr="002B2F0B">
        <w:rPr>
          <w:b/>
          <w:i/>
          <w:iCs/>
          <w:szCs w:val="24"/>
          <w:lang w:eastAsia="fr-FR"/>
        </w:rPr>
        <w:tab/>
        <w:t>le nombre d'appels interjetés en vertu de l'article 37 et, si possible, le nombre de cas dans lesquels l'appel a été accueilli</w:t>
      </w:r>
      <w:r w:rsidRPr="002B2F0B">
        <w:rPr>
          <w:szCs w:val="24"/>
          <w:lang w:eastAsia="fr-FR"/>
        </w:rPr>
        <w:t>.</w:t>
      </w:r>
    </w:p>
    <w:p w:rsidR="002022AB" w:rsidRPr="002B2F0B" w:rsidRDefault="002022AB" w:rsidP="00075179">
      <w:pPr>
        <w:keepNext/>
        <w:tabs>
          <w:tab w:val="left" w:pos="-567"/>
        </w:tabs>
        <w:spacing w:before="360" w:after="120" w:line="360" w:lineRule="auto"/>
        <w:jc w:val="center"/>
        <w:outlineLvl w:val="0"/>
        <w:rPr>
          <w:b/>
          <w:bCs/>
          <w:sz w:val="32"/>
          <w:szCs w:val="32"/>
          <w:lang w:eastAsia="fr-FR"/>
        </w:rPr>
      </w:pPr>
      <w:r w:rsidRPr="002B2F0B">
        <w:rPr>
          <w:szCs w:val="24"/>
          <w:lang w:eastAsia="fr-FR"/>
        </w:rPr>
        <w:br w:type="page"/>
      </w:r>
      <w:r w:rsidRPr="002B2F0B">
        <w:rPr>
          <w:b/>
          <w:sz w:val="32"/>
          <w:szCs w:val="24"/>
          <w:lang w:eastAsia="fr-FR"/>
        </w:rPr>
        <w:t xml:space="preserve">Chapitre 6 </w:t>
      </w:r>
      <w:r w:rsidRPr="002B2F0B">
        <w:rPr>
          <w:b/>
          <w:bCs/>
          <w:sz w:val="32"/>
          <w:szCs w:val="32"/>
          <w:lang w:eastAsia="fr-FR"/>
        </w:rPr>
        <w:br/>
      </w:r>
      <w:r w:rsidRPr="002B2F0B">
        <w:rPr>
          <w:b/>
          <w:sz w:val="32"/>
          <w:szCs w:val="24"/>
          <w:lang w:eastAsia="fr-FR"/>
        </w:rPr>
        <w:t>Dispositions finales</w:t>
      </w:r>
    </w:p>
    <w:p w:rsidR="002022AB" w:rsidRPr="002B2F0B" w:rsidRDefault="002022AB" w:rsidP="00075179">
      <w:pPr>
        <w:keepNext/>
        <w:spacing w:before="360" w:after="120" w:line="360" w:lineRule="auto"/>
        <w:jc w:val="center"/>
        <w:rPr>
          <w:i/>
          <w:iCs/>
          <w:szCs w:val="24"/>
          <w:lang w:eastAsia="fr-FR"/>
        </w:rPr>
      </w:pPr>
      <w:r w:rsidRPr="002B2F0B">
        <w:rPr>
          <w:i/>
          <w:szCs w:val="24"/>
          <w:lang w:eastAsia="fr-FR"/>
        </w:rPr>
        <w:t xml:space="preserve">Article 54 </w:t>
      </w:r>
      <w:r w:rsidRPr="002B2F0B">
        <w:rPr>
          <w:i/>
          <w:iCs/>
          <w:szCs w:val="24"/>
          <w:lang w:eastAsia="fr-FR"/>
        </w:rPr>
        <w:br/>
      </w:r>
      <w:r w:rsidRPr="002B2F0B">
        <w:rPr>
          <w:i/>
          <w:szCs w:val="24"/>
          <w:lang w:eastAsia="fr-FR"/>
        </w:rPr>
        <w:t xml:space="preserve">Entrée en vigueur </w:t>
      </w:r>
    </w:p>
    <w:p w:rsidR="002022AB" w:rsidRPr="002B2F0B" w:rsidRDefault="002022AB" w:rsidP="00075179">
      <w:pPr>
        <w:widowControl w:val="0"/>
        <w:spacing w:before="120" w:after="120" w:line="360" w:lineRule="auto"/>
        <w:rPr>
          <w:szCs w:val="24"/>
          <w:lang w:eastAsia="fr-FR"/>
        </w:rPr>
      </w:pPr>
      <w:r w:rsidRPr="002B2F0B">
        <w:rPr>
          <w:szCs w:val="24"/>
          <w:lang w:eastAsia="fr-FR"/>
        </w:rPr>
        <w:t xml:space="preserve">Le présent règlement entre en vigueur le vingtième jour suivant celui de sa publication au </w:t>
      </w:r>
      <w:r w:rsidRPr="002B2F0B">
        <w:rPr>
          <w:i/>
          <w:szCs w:val="24"/>
          <w:lang w:eastAsia="fr-FR"/>
        </w:rPr>
        <w:t>Journal officiel de l'Union européenne.</w:t>
      </w:r>
    </w:p>
    <w:p w:rsidR="002022AB" w:rsidRPr="002B2F0B" w:rsidRDefault="002022AB" w:rsidP="00075179">
      <w:pPr>
        <w:widowControl w:val="0"/>
        <w:spacing w:before="120" w:after="120" w:line="360" w:lineRule="auto"/>
        <w:rPr>
          <w:szCs w:val="24"/>
          <w:lang w:eastAsia="fr-FR"/>
        </w:rPr>
      </w:pPr>
      <w:r w:rsidRPr="002B2F0B">
        <w:rPr>
          <w:szCs w:val="24"/>
          <w:lang w:eastAsia="fr-FR"/>
        </w:rPr>
        <w:t>Il est applicable à partir du …</w:t>
      </w:r>
      <w:r w:rsidRPr="002B2F0B">
        <w:rPr>
          <w:b/>
          <w:bCs/>
          <w:szCs w:val="24"/>
          <w:vertAlign w:val="superscript"/>
          <w:lang w:eastAsia="fr-FR"/>
        </w:rPr>
        <w:footnoteReference w:customMarkFollows="1" w:id="81"/>
        <w:t>*</w:t>
      </w:r>
      <w:r w:rsidRPr="002B2F0B">
        <w:rPr>
          <w:szCs w:val="24"/>
          <w:lang w:eastAsia="fr-FR"/>
        </w:rPr>
        <w:t>, à l'exception de l'article 50, qui est applicable à partir du …</w:t>
      </w:r>
      <w:r w:rsidRPr="002B2F0B">
        <w:rPr>
          <w:b/>
          <w:bCs/>
          <w:szCs w:val="24"/>
          <w:vertAlign w:val="superscript"/>
          <w:lang w:eastAsia="fr-FR"/>
        </w:rPr>
        <w:footnoteReference w:customMarkFollows="1" w:id="82"/>
        <w:t>**</w:t>
      </w:r>
      <w:r w:rsidRPr="002B2F0B">
        <w:rPr>
          <w:szCs w:val="24"/>
          <w:lang w:eastAsia="fr-FR"/>
        </w:rPr>
        <w:t xml:space="preserve"> </w:t>
      </w:r>
      <w:r>
        <w:rPr>
          <w:szCs w:val="24"/>
          <w:lang w:eastAsia="fr-FR"/>
        </w:rPr>
        <w:t>.</w:t>
      </w:r>
    </w:p>
    <w:p w:rsidR="002022AB" w:rsidRPr="002B2F0B" w:rsidRDefault="002022AB" w:rsidP="00075179">
      <w:pPr>
        <w:widowControl w:val="0"/>
        <w:spacing w:before="480" w:after="120" w:line="360" w:lineRule="auto"/>
        <w:rPr>
          <w:szCs w:val="24"/>
          <w:lang w:eastAsia="fr-FR"/>
        </w:rPr>
      </w:pPr>
      <w:r w:rsidRPr="002B2F0B">
        <w:rPr>
          <w:szCs w:val="24"/>
          <w:lang w:eastAsia="fr-FR"/>
        </w:rPr>
        <w:t xml:space="preserve">Le présent règlement est obligatoire dans tous ses éléments et directement applicable dans les États membres conformément aux traités. </w:t>
      </w:r>
    </w:p>
    <w:p w:rsidR="002022AB" w:rsidRPr="002B2F0B" w:rsidRDefault="002022AB" w:rsidP="00075179">
      <w:pPr>
        <w:keepNext/>
        <w:keepLines/>
        <w:spacing w:before="120" w:after="120" w:line="360" w:lineRule="auto"/>
        <w:jc w:val="both"/>
        <w:rPr>
          <w:szCs w:val="24"/>
          <w:lang w:eastAsia="fr-FR"/>
        </w:rPr>
      </w:pPr>
      <w:r w:rsidRPr="002B2F0B">
        <w:rPr>
          <w:szCs w:val="24"/>
          <w:lang w:eastAsia="fr-FR"/>
        </w:rPr>
        <w:t>Fait à</w:t>
      </w:r>
    </w:p>
    <w:p w:rsidR="002022AB" w:rsidRPr="002B2F0B" w:rsidRDefault="002022AB" w:rsidP="00075179">
      <w:pPr>
        <w:keepNext/>
        <w:keepLines/>
        <w:tabs>
          <w:tab w:val="left" w:pos="4536"/>
        </w:tabs>
        <w:spacing w:before="120" w:after="120" w:line="360" w:lineRule="auto"/>
        <w:jc w:val="both"/>
        <w:rPr>
          <w:i/>
          <w:iCs/>
          <w:szCs w:val="24"/>
          <w:lang w:eastAsia="fr-FR"/>
        </w:rPr>
      </w:pPr>
      <w:r w:rsidRPr="002B2F0B">
        <w:rPr>
          <w:i/>
          <w:szCs w:val="24"/>
          <w:lang w:eastAsia="fr-FR"/>
        </w:rPr>
        <w:t>Par le Parlement européen</w:t>
      </w:r>
      <w:r w:rsidRPr="002B2F0B">
        <w:rPr>
          <w:szCs w:val="24"/>
          <w:lang w:eastAsia="fr-FR"/>
        </w:rPr>
        <w:tab/>
      </w:r>
      <w:r w:rsidRPr="002B2F0B">
        <w:rPr>
          <w:i/>
          <w:szCs w:val="24"/>
          <w:lang w:eastAsia="fr-FR"/>
        </w:rPr>
        <w:t>Par le Conseil</w:t>
      </w:r>
    </w:p>
    <w:p w:rsidR="002022AB" w:rsidRPr="002B2F0B" w:rsidRDefault="002022AB" w:rsidP="00075179">
      <w:pPr>
        <w:keepNext/>
        <w:keepLines/>
        <w:tabs>
          <w:tab w:val="left" w:pos="4536"/>
        </w:tabs>
        <w:spacing w:before="120" w:after="120" w:line="360" w:lineRule="auto"/>
        <w:rPr>
          <w:i/>
          <w:iCs/>
          <w:szCs w:val="24"/>
          <w:lang w:eastAsia="fr-FR"/>
        </w:rPr>
      </w:pPr>
      <w:r w:rsidRPr="002B2F0B">
        <w:rPr>
          <w:i/>
          <w:szCs w:val="24"/>
          <w:lang w:eastAsia="fr-FR"/>
        </w:rPr>
        <w:t>Le président</w:t>
      </w:r>
      <w:r w:rsidRPr="002B2F0B">
        <w:rPr>
          <w:szCs w:val="24"/>
          <w:lang w:eastAsia="fr-FR"/>
        </w:rPr>
        <w:tab/>
      </w:r>
      <w:r w:rsidRPr="002B2F0B">
        <w:rPr>
          <w:i/>
          <w:szCs w:val="24"/>
          <w:lang w:eastAsia="fr-FR"/>
        </w:rPr>
        <w:t>Le président</w:t>
      </w:r>
    </w:p>
    <w:p w:rsidR="002022AB" w:rsidRPr="002B2F0B" w:rsidRDefault="002022AB" w:rsidP="00075179">
      <w:pPr>
        <w:widowControl w:val="0"/>
        <w:spacing w:before="120" w:after="120" w:line="360" w:lineRule="auto"/>
        <w:jc w:val="center"/>
        <w:rPr>
          <w:szCs w:val="24"/>
          <w:lang w:eastAsia="fr-FR"/>
        </w:rPr>
      </w:pPr>
    </w:p>
    <w:p w:rsidR="002022AB" w:rsidRPr="002B2F0B" w:rsidRDefault="002022AB" w:rsidP="00075179">
      <w:pPr>
        <w:spacing w:before="120" w:after="120" w:line="360" w:lineRule="auto"/>
        <w:ind w:left="850" w:hanging="850"/>
        <w:rPr>
          <w:szCs w:val="24"/>
          <w:lang w:eastAsia="fr-FR"/>
        </w:rPr>
      </w:pPr>
      <w:r w:rsidRPr="002B2F0B">
        <w:rPr>
          <w:szCs w:val="24"/>
          <w:lang w:eastAsia="fr-FR"/>
        </w:rPr>
        <w:t>▌</w:t>
      </w:r>
    </w:p>
    <w:p w:rsidR="002022AB" w:rsidRPr="00AF4EE9" w:rsidRDefault="002022AB" w:rsidP="00075179"/>
    <w:p w:rsidR="002022AB" w:rsidRDefault="002022AB">
      <w:pPr>
        <w:rPr>
          <w:noProof w:val="0"/>
        </w:rPr>
        <w:sectPr w:rsidR="002022AB" w:rsidSect="00075179">
          <w:footerReference w:type="even" r:id="rId54"/>
          <w:footerReference w:type="default" r:id="rId55"/>
          <w:footnotePr>
            <w:numRestart w:val="eachPage"/>
          </w:footnotePr>
          <w:endnotePr>
            <w:numFmt w:val="decimal"/>
          </w:endnotePr>
          <w:pgSz w:w="11905" w:h="16837" w:code="9"/>
          <w:pgMar w:top="1134" w:right="1247" w:bottom="1814" w:left="1418" w:header="720" w:footer="397" w:gutter="0"/>
          <w:cols w:space="720"/>
          <w:noEndnote/>
          <w:docGrid w:linePitch="326"/>
        </w:sectPr>
      </w:pPr>
    </w:p>
    <w:p w:rsidR="002022AB" w:rsidRPr="00662F05" w:rsidRDefault="002022AB" w:rsidP="00075179">
      <w:pPr>
        <w:pStyle w:val="ATHeading1"/>
        <w:rPr>
          <w:lang w:val="it-IT"/>
        </w:rPr>
      </w:pPr>
      <w:bookmarkStart w:id="54" w:name="_Toc385343000"/>
      <w:bookmarkStart w:id="55" w:name="_Toc385343075"/>
      <w:r w:rsidRPr="00662F05">
        <w:rPr>
          <w:lang w:val="it-IT"/>
        </w:rPr>
        <w:t>P7_TA-PROV(2014)0</w:t>
      </w:r>
      <w:r>
        <w:rPr>
          <w:lang w:val="it-IT"/>
        </w:rPr>
        <w:t>368</w:t>
      </w:r>
      <w:bookmarkEnd w:id="54"/>
      <w:bookmarkEnd w:id="55"/>
    </w:p>
    <w:p w:rsidR="002022AB" w:rsidRPr="00473BE5" w:rsidRDefault="002022AB" w:rsidP="00075179">
      <w:pPr>
        <w:pStyle w:val="ATHeading2"/>
      </w:pPr>
      <w:bookmarkStart w:id="56" w:name="_Toc385343001"/>
      <w:bookmarkStart w:id="57" w:name="_Toc385343076"/>
      <w:r>
        <w:t>Publication d'informations non financières et d'informations relatives à la diversité par certaines grandes sociétés et certains groupes</w:t>
      </w:r>
      <w:r w:rsidRPr="00473BE5">
        <w:t xml:space="preserve"> ***I</w:t>
      </w:r>
      <w:bookmarkEnd w:id="56"/>
      <w:bookmarkEnd w:id="57"/>
    </w:p>
    <w:p w:rsidR="002022AB" w:rsidRPr="00662F05" w:rsidRDefault="002022AB" w:rsidP="00075179">
      <w:pPr>
        <w:rPr>
          <w:i/>
          <w:vanish/>
          <w:lang w:val="it-IT"/>
        </w:rPr>
      </w:pPr>
      <w:r>
        <w:rPr>
          <w:i/>
        </w:rPr>
        <w:fldChar w:fldCharType="begin"/>
      </w:r>
      <w:r w:rsidRPr="00662F05">
        <w:rPr>
          <w:i/>
          <w:lang w:val="it-IT"/>
        </w:rPr>
        <w:instrText xml:space="preserve"> TC"</w:instrText>
      </w:r>
      <w:bookmarkStart w:id="58" w:name="_Toc385343002"/>
      <w:bookmarkStart w:id="59" w:name="_Toc385343077"/>
      <w:r w:rsidRPr="00662F05">
        <w:rPr>
          <w:i/>
          <w:lang w:val="it-IT"/>
        </w:rPr>
        <w:instrText>(A7-0006/2014 - Rapporteure: Raffaele Baldassarre)</w:instrText>
      </w:r>
      <w:bookmarkEnd w:id="58"/>
      <w:bookmarkEnd w:id="59"/>
      <w:r w:rsidRPr="00662F05">
        <w:rPr>
          <w:i/>
          <w:lang w:val="it-IT"/>
        </w:rPr>
        <w:instrText xml:space="preserve">"\l3 \n&gt; \* MERGEFORMAT </w:instrText>
      </w:r>
      <w:r>
        <w:rPr>
          <w:i/>
        </w:rPr>
        <w:fldChar w:fldCharType="end"/>
      </w:r>
    </w:p>
    <w:p w:rsidR="002022AB" w:rsidRDefault="002022AB" w:rsidP="00075179">
      <w:pPr>
        <w:rPr>
          <w:vanish/>
        </w:rPr>
      </w:pPr>
      <w:r w:rsidRPr="005E7369">
        <w:rPr>
          <w:vanish/>
        </w:rPr>
        <w:t>Commission des affaires juridiques</w:t>
      </w:r>
    </w:p>
    <w:p w:rsidR="002022AB" w:rsidRDefault="002022AB" w:rsidP="00075179">
      <w:pPr>
        <w:rPr>
          <w:vanish/>
        </w:rPr>
      </w:pPr>
      <w:r w:rsidRPr="005E7369">
        <w:rPr>
          <w:vanish/>
        </w:rPr>
        <w:t>PE521.714</w:t>
      </w:r>
    </w:p>
    <w:p w:rsidR="002022AB" w:rsidRDefault="002022AB" w:rsidP="00075179">
      <w:pPr>
        <w:pStyle w:val="ATHeading3"/>
      </w:pPr>
      <w:bookmarkStart w:id="60" w:name="_Toc385343078"/>
      <w:r>
        <w:t>Résolution législative du Parlement européen du 15 avril 2014 sur la proposition de directive du Parlement européen et du Conseil modifiant les directives 78/660/CEE et 83/349/CEE du Conseil en ce qui concerne la publication d'informations non financières et d'informations relatives à la diversité par certaines grandes sociétés et certains groupes (COM(2013)0207 – C7-0103/2013 – 2013/0110(COD))</w:t>
      </w:r>
      <w:bookmarkEnd w:id="60"/>
    </w:p>
    <w:p w:rsidR="002022AB" w:rsidRDefault="002022AB" w:rsidP="00075179"/>
    <w:p w:rsidR="002022AB" w:rsidRPr="001E7971" w:rsidRDefault="002022AB" w:rsidP="00075179">
      <w:pPr>
        <w:pStyle w:val="Normal12Bold"/>
        <w:widowControl/>
        <w:rPr>
          <w:szCs w:val="24"/>
        </w:rPr>
      </w:pPr>
      <w:r w:rsidRPr="001E7971">
        <w:rPr>
          <w:noProof/>
          <w:szCs w:val="24"/>
        </w:rPr>
        <w:t>(Procédure législative ordinaire:</w:t>
      </w:r>
      <w:r w:rsidRPr="001E7971">
        <w:rPr>
          <w:szCs w:val="24"/>
        </w:rPr>
        <w:t xml:space="preserve"> </w:t>
      </w:r>
      <w:r w:rsidRPr="001E7971">
        <w:rPr>
          <w:noProof/>
          <w:szCs w:val="24"/>
        </w:rPr>
        <w:t>première lecture)</w:t>
      </w:r>
    </w:p>
    <w:p w:rsidR="002022AB" w:rsidRPr="001E7971" w:rsidRDefault="002022AB" w:rsidP="00075179">
      <w:pPr>
        <w:pStyle w:val="Normal12"/>
        <w:widowControl/>
        <w:spacing w:before="360"/>
        <w:rPr>
          <w:szCs w:val="24"/>
        </w:rPr>
      </w:pPr>
      <w:r w:rsidRPr="001E7971">
        <w:rPr>
          <w:i/>
          <w:noProof/>
          <w:szCs w:val="24"/>
        </w:rPr>
        <w:t>Le Parlement européen</w:t>
      </w:r>
      <w:r w:rsidRPr="001E7971">
        <w:rPr>
          <w:noProof/>
          <w:szCs w:val="24"/>
        </w:rPr>
        <w:t>,</w:t>
      </w:r>
    </w:p>
    <w:p w:rsidR="002022AB" w:rsidRPr="001E7971" w:rsidRDefault="002022AB" w:rsidP="00075179">
      <w:pPr>
        <w:pStyle w:val="Normal12Hanging"/>
        <w:widowControl/>
        <w:rPr>
          <w:szCs w:val="24"/>
        </w:rPr>
      </w:pPr>
      <w:r w:rsidRPr="001E7971">
        <w:rPr>
          <w:szCs w:val="24"/>
        </w:rPr>
        <w:t>–</w:t>
      </w:r>
      <w:r w:rsidRPr="001E7971">
        <w:rPr>
          <w:szCs w:val="24"/>
        </w:rPr>
        <w:tab/>
        <w:t>vu la proposition de la Commission au Parlement européen et au Conseil (COM(2013)0207),</w:t>
      </w:r>
    </w:p>
    <w:p w:rsidR="002022AB" w:rsidRPr="001E7971" w:rsidRDefault="002022AB" w:rsidP="00075179">
      <w:pPr>
        <w:pStyle w:val="Normal12Hanging"/>
        <w:widowControl/>
        <w:rPr>
          <w:szCs w:val="24"/>
        </w:rPr>
      </w:pPr>
      <w:r w:rsidRPr="001E7971">
        <w:rPr>
          <w:szCs w:val="24"/>
        </w:rPr>
        <w:t>–</w:t>
      </w:r>
      <w:r w:rsidRPr="001E7971">
        <w:rPr>
          <w:szCs w:val="24"/>
        </w:rPr>
        <w:tab/>
        <w:t>vu l'article 294, paragraphe 2, et l'article 50, paragraphe 1, du traité sur le fonctionnement de l'Union européenne, conformément auxquels la proposition lui a été présentée par la Commission (C7-0103/2013),</w:t>
      </w:r>
    </w:p>
    <w:p w:rsidR="002022AB" w:rsidRPr="001E7971" w:rsidRDefault="002022AB" w:rsidP="00075179">
      <w:pPr>
        <w:pStyle w:val="Normal12Hanging"/>
        <w:widowControl/>
        <w:rPr>
          <w:szCs w:val="24"/>
        </w:rPr>
      </w:pPr>
      <w:r w:rsidRPr="001E7971">
        <w:rPr>
          <w:szCs w:val="24"/>
        </w:rPr>
        <w:t>–</w:t>
      </w:r>
      <w:r w:rsidRPr="001E7971">
        <w:rPr>
          <w:szCs w:val="24"/>
        </w:rPr>
        <w:tab/>
        <w:t>vu l'article 294, paragraphe 3, du traité sur le fonctionnement de l'Union européenne,</w:t>
      </w:r>
    </w:p>
    <w:p w:rsidR="002022AB" w:rsidRPr="001E7971" w:rsidRDefault="002022AB" w:rsidP="00075179">
      <w:pPr>
        <w:pStyle w:val="Normal12Hanging"/>
        <w:widowControl/>
        <w:rPr>
          <w:szCs w:val="24"/>
        </w:rPr>
      </w:pPr>
      <w:r w:rsidRPr="001E7971">
        <w:rPr>
          <w:szCs w:val="24"/>
        </w:rPr>
        <w:t>–</w:t>
      </w:r>
      <w:r w:rsidRPr="001E7971">
        <w:rPr>
          <w:szCs w:val="24"/>
        </w:rPr>
        <w:tab/>
        <w:t>vu l'avis motivé soumis par le Parlement estonien, dans le cadre du protocole n° 2 sur l'application des principes de subsidiarité et de proportionnalité, déclarant que le projet d'acte législatif n'est pas conforme au principe de subsidiarité,</w:t>
      </w:r>
    </w:p>
    <w:p w:rsidR="002022AB" w:rsidRDefault="002022AB" w:rsidP="00075179">
      <w:pPr>
        <w:pStyle w:val="Normal12Hanging"/>
        <w:widowControl/>
        <w:rPr>
          <w:szCs w:val="24"/>
        </w:rPr>
      </w:pPr>
      <w:r w:rsidRPr="001E7971">
        <w:rPr>
          <w:szCs w:val="24"/>
        </w:rPr>
        <w:t>–</w:t>
      </w:r>
      <w:r w:rsidRPr="001E7971">
        <w:rPr>
          <w:szCs w:val="24"/>
        </w:rPr>
        <w:tab/>
        <w:t>vu l'avis du Comité économique et social européen du 11 juillet 2013</w:t>
      </w:r>
      <w:r w:rsidRPr="001E7971">
        <w:rPr>
          <w:rStyle w:val="FootnoteReference"/>
          <w:szCs w:val="24"/>
        </w:rPr>
        <w:footnoteReference w:id="83"/>
      </w:r>
      <w:r w:rsidRPr="001E7971">
        <w:rPr>
          <w:szCs w:val="24"/>
        </w:rPr>
        <w:t>,</w:t>
      </w:r>
    </w:p>
    <w:p w:rsidR="002022AB" w:rsidRDefault="002022AB" w:rsidP="00075179">
      <w:pPr>
        <w:pStyle w:val="Normal12Hanging"/>
        <w:widowControl/>
      </w:pPr>
      <w:r w:rsidRPr="00B04248">
        <w:t>–</w:t>
      </w:r>
      <w:r w:rsidRPr="00B04248">
        <w:tab/>
        <w:t xml:space="preserve">vu l'engagement pris par le représentant du Conseil, par lettre du </w:t>
      </w:r>
      <w:r>
        <w:t>26</w:t>
      </w:r>
      <w:r w:rsidRPr="00B04248">
        <w:t> </w:t>
      </w:r>
      <w:r>
        <w:t>février</w:t>
      </w:r>
      <w:r w:rsidRPr="00B04248">
        <w:t> 201</w:t>
      </w:r>
      <w:r>
        <w:t>4</w:t>
      </w:r>
      <w:r w:rsidRPr="00B04248">
        <w:t xml:space="preserve">, d'approuver la position du </w:t>
      </w:r>
      <w:r w:rsidRPr="00F92689">
        <w:rPr>
          <w:szCs w:val="24"/>
        </w:rPr>
        <w:t>Parlement</w:t>
      </w:r>
      <w:r w:rsidRPr="00B04248">
        <w:t xml:space="preserve"> européen, conformément à l'article 294, paragraphe 4, du traité sur le fonctionnement de l'Union européenne,</w:t>
      </w:r>
    </w:p>
    <w:p w:rsidR="002022AB" w:rsidRPr="001E7971" w:rsidRDefault="002022AB" w:rsidP="00075179">
      <w:pPr>
        <w:pStyle w:val="Normal12Hanging"/>
        <w:widowControl/>
        <w:rPr>
          <w:szCs w:val="24"/>
        </w:rPr>
      </w:pPr>
      <w:r w:rsidRPr="001E7971">
        <w:rPr>
          <w:szCs w:val="24"/>
        </w:rPr>
        <w:t>–</w:t>
      </w:r>
      <w:r w:rsidRPr="001E7971">
        <w:rPr>
          <w:szCs w:val="24"/>
        </w:rPr>
        <w:tab/>
        <w:t>vu l'article 55 de son règlement,</w:t>
      </w:r>
    </w:p>
    <w:p w:rsidR="002022AB" w:rsidRPr="001E7971" w:rsidRDefault="002022AB" w:rsidP="00075179">
      <w:pPr>
        <w:pStyle w:val="Normal12Hanging"/>
        <w:widowControl/>
        <w:rPr>
          <w:szCs w:val="24"/>
        </w:rPr>
      </w:pPr>
      <w:r w:rsidRPr="001E7971">
        <w:rPr>
          <w:szCs w:val="24"/>
        </w:rPr>
        <w:t>–</w:t>
      </w:r>
      <w:r w:rsidRPr="001E7971">
        <w:rPr>
          <w:szCs w:val="24"/>
        </w:rPr>
        <w:tab/>
        <w:t xml:space="preserve">vu le rapport de la commission des affaires juridiques et </w:t>
      </w:r>
      <w:r>
        <w:rPr>
          <w:szCs w:val="24"/>
        </w:rPr>
        <w:t>les avis</w:t>
      </w:r>
      <w:r w:rsidRPr="001E7971">
        <w:rPr>
          <w:szCs w:val="24"/>
        </w:rPr>
        <w:t xml:space="preserve"> de la commission des affaires étrangères, de la commission du développement, de la commission des affaires économiques et monétaires, de la commission de l'emploi et des affaires sociales, de la commission de l'industrie, de la recherche et de l'énergie, de la commission du marché intérieur et de la protection des consommateurs et de la commission des droits de la femme et de l'égalité des genres (A7-0006/2014),</w:t>
      </w:r>
    </w:p>
    <w:p w:rsidR="002022AB" w:rsidRPr="001E7971" w:rsidRDefault="002022AB" w:rsidP="00075179">
      <w:pPr>
        <w:pStyle w:val="Normal12Hanging"/>
        <w:widowControl/>
        <w:rPr>
          <w:szCs w:val="24"/>
        </w:rPr>
      </w:pPr>
      <w:r w:rsidRPr="001E7971">
        <w:rPr>
          <w:szCs w:val="24"/>
        </w:rPr>
        <w:t>1.</w:t>
      </w:r>
      <w:r w:rsidRPr="001E7971">
        <w:rPr>
          <w:szCs w:val="24"/>
        </w:rPr>
        <w:tab/>
        <w:t>arrête la position en première lecture figurant ci-après;</w:t>
      </w:r>
    </w:p>
    <w:p w:rsidR="002022AB" w:rsidRPr="001E7971" w:rsidRDefault="002022AB" w:rsidP="00075179">
      <w:pPr>
        <w:pStyle w:val="Normal12Hanging"/>
        <w:widowControl/>
        <w:rPr>
          <w:szCs w:val="24"/>
        </w:rPr>
      </w:pPr>
      <w:r w:rsidRPr="001E7971">
        <w:rPr>
          <w:szCs w:val="24"/>
        </w:rPr>
        <w:t>2.</w:t>
      </w:r>
      <w:r w:rsidRPr="001E7971">
        <w:rPr>
          <w:szCs w:val="24"/>
        </w:rPr>
        <w:tab/>
        <w:t>demande à la Commission de le saisir à nouveau, si elle entend modifier de manière substantielle sa proposition ou la remplacer par un autre texte;</w:t>
      </w:r>
    </w:p>
    <w:p w:rsidR="002022AB" w:rsidRDefault="002022AB" w:rsidP="00075179">
      <w:pPr>
        <w:pStyle w:val="Normal12Hanging"/>
        <w:widowControl/>
        <w:rPr>
          <w:szCs w:val="24"/>
        </w:rPr>
      </w:pPr>
      <w:r w:rsidRPr="001E7971">
        <w:rPr>
          <w:szCs w:val="24"/>
        </w:rPr>
        <w:t>3.</w:t>
      </w:r>
      <w:r w:rsidRPr="001E7971">
        <w:rPr>
          <w:szCs w:val="24"/>
        </w:rPr>
        <w:tab/>
        <w:t>charge son Président de transmettre la position du Parlement au Conseil et à la Commission ainsi qu'aux parlements nationaux.</w:t>
      </w:r>
    </w:p>
    <w:p w:rsidR="002022AB" w:rsidRPr="00C617B0" w:rsidRDefault="002022AB" w:rsidP="00075179">
      <w:pPr>
        <w:spacing w:after="240"/>
        <w:rPr>
          <w:b/>
        </w:rPr>
      </w:pPr>
      <w:r>
        <w:rPr>
          <w:szCs w:val="24"/>
        </w:rPr>
        <w:br w:type="page"/>
      </w:r>
      <w:r w:rsidRPr="00C617B0">
        <w:rPr>
          <w:b/>
        </w:rPr>
        <w:t>P7_TC1-COD(</w:t>
      </w:r>
      <w:r>
        <w:rPr>
          <w:b/>
        </w:rPr>
        <w:t>2013</w:t>
      </w:r>
      <w:r w:rsidRPr="00C617B0">
        <w:rPr>
          <w:b/>
        </w:rPr>
        <w:t>)</w:t>
      </w:r>
      <w:r>
        <w:rPr>
          <w:b/>
        </w:rPr>
        <w:t>0110</w:t>
      </w:r>
    </w:p>
    <w:p w:rsidR="002022AB" w:rsidRPr="00365603" w:rsidRDefault="002022AB" w:rsidP="00075179">
      <w:pPr>
        <w:spacing w:after="240"/>
        <w:rPr>
          <w:snapToGrid w:val="0"/>
          <w:kern w:val="1"/>
          <w:szCs w:val="24"/>
        </w:rPr>
      </w:pPr>
      <w:r w:rsidRPr="00C92B87">
        <w:rPr>
          <w:b/>
        </w:rPr>
        <w:t xml:space="preserve">Position du Parlement européen arrêtée en première lecture le </w:t>
      </w:r>
      <w:r>
        <w:rPr>
          <w:b/>
        </w:rPr>
        <w:t xml:space="preserve">15 avril 2014 </w:t>
      </w:r>
      <w:r w:rsidRPr="00C92B87">
        <w:rPr>
          <w:b/>
        </w:rPr>
        <w:t>en vue de l’adoption</w:t>
      </w:r>
      <w:r>
        <w:rPr>
          <w:b/>
        </w:rPr>
        <w:t xml:space="preserve"> de la </w:t>
      </w:r>
      <w:r w:rsidRPr="00365603">
        <w:rPr>
          <w:b/>
        </w:rPr>
        <w:t>directive 2014/.../UE du Parlement</w:t>
      </w:r>
      <w:r w:rsidRPr="00C92B87">
        <w:rPr>
          <w:b/>
        </w:rPr>
        <w:t xml:space="preserve"> européen et du Conseil </w:t>
      </w:r>
      <w:r w:rsidRPr="00365603">
        <w:rPr>
          <w:b/>
          <w:snapToGrid w:val="0"/>
          <w:kern w:val="1"/>
          <w:szCs w:val="24"/>
        </w:rPr>
        <w:t xml:space="preserve">modifiant </w:t>
      </w:r>
      <w:r w:rsidRPr="00365603">
        <w:rPr>
          <w:b/>
          <w:i/>
          <w:snapToGrid w:val="0"/>
          <w:kern w:val="1"/>
          <w:szCs w:val="24"/>
        </w:rPr>
        <w:t>la directive 2013/34/UE</w:t>
      </w:r>
      <w:r w:rsidRPr="00365603">
        <w:rPr>
          <w:b/>
          <w:snapToGrid w:val="0"/>
          <w:kern w:val="1"/>
          <w:szCs w:val="24"/>
        </w:rPr>
        <w:t xml:space="preserve"> en ce qui concerne la communication d'informations non financières et d'informations relatives à la diversité par certaines grandes </w:t>
      </w:r>
      <w:r w:rsidRPr="00365603">
        <w:rPr>
          <w:b/>
          <w:i/>
          <w:snapToGrid w:val="0"/>
          <w:kern w:val="1"/>
          <w:szCs w:val="24"/>
        </w:rPr>
        <w:t>entreprises</w:t>
      </w:r>
      <w:r w:rsidRPr="00365603">
        <w:rPr>
          <w:b/>
          <w:snapToGrid w:val="0"/>
          <w:kern w:val="1"/>
          <w:szCs w:val="24"/>
        </w:rPr>
        <w:t xml:space="preserve"> et certains groupes</w:t>
      </w:r>
      <w:r w:rsidRPr="00365603">
        <w:rPr>
          <w:b/>
          <w:snapToGrid w:val="0"/>
          <w:kern w:val="1"/>
          <w:szCs w:val="24"/>
          <w:vertAlign w:val="superscript"/>
        </w:rPr>
        <w:footnoteReference w:customMarkFollows="1" w:id="84"/>
        <w:sym w:font="Symbol" w:char="F02A"/>
      </w:r>
    </w:p>
    <w:p w:rsidR="002022AB" w:rsidRPr="00365603" w:rsidRDefault="002022AB" w:rsidP="00075179">
      <w:pPr>
        <w:spacing w:line="360" w:lineRule="auto"/>
        <w:jc w:val="center"/>
        <w:rPr>
          <w:b/>
          <w:snapToGrid w:val="0"/>
          <w:kern w:val="1"/>
          <w:szCs w:val="24"/>
        </w:rPr>
      </w:pPr>
      <w:r w:rsidRPr="00365603">
        <w:rPr>
          <w:b/>
          <w:snapToGrid w:val="0"/>
          <w:kern w:val="1"/>
          <w:szCs w:val="24"/>
        </w:rPr>
        <w:t>(Texte présentant de l'intérêt pour l'EEE)</w:t>
      </w:r>
    </w:p>
    <w:p w:rsidR="002022AB" w:rsidRPr="00365603" w:rsidRDefault="002022AB" w:rsidP="00075179">
      <w:pPr>
        <w:spacing w:before="600" w:after="120" w:line="360" w:lineRule="auto"/>
        <w:rPr>
          <w:snapToGrid w:val="0"/>
          <w:kern w:val="1"/>
          <w:szCs w:val="24"/>
        </w:rPr>
      </w:pPr>
      <w:r w:rsidRPr="00365603">
        <w:rPr>
          <w:snapToGrid w:val="0"/>
          <w:kern w:val="1"/>
          <w:szCs w:val="24"/>
        </w:rPr>
        <w:t>LE PARLEMENT EUROPÉEN ET LE CONSEIL DE L'UNION EUROPÉENNE,</w:t>
      </w:r>
    </w:p>
    <w:p w:rsidR="002022AB" w:rsidRPr="00365603" w:rsidRDefault="002022AB" w:rsidP="00075179">
      <w:pPr>
        <w:spacing w:before="120" w:after="120" w:line="360" w:lineRule="auto"/>
        <w:rPr>
          <w:snapToGrid w:val="0"/>
          <w:kern w:val="1"/>
          <w:szCs w:val="24"/>
        </w:rPr>
      </w:pPr>
      <w:r w:rsidRPr="00365603">
        <w:rPr>
          <w:snapToGrid w:val="0"/>
          <w:kern w:val="1"/>
          <w:szCs w:val="24"/>
        </w:rPr>
        <w:t>vu le traité sur le fonctionnement de l'Union européenne, et notamment son article 50, paragraphe 1,</w:t>
      </w:r>
    </w:p>
    <w:p w:rsidR="002022AB" w:rsidRPr="00365603" w:rsidRDefault="002022AB" w:rsidP="00075179">
      <w:pPr>
        <w:spacing w:before="120" w:after="120" w:line="360" w:lineRule="auto"/>
        <w:rPr>
          <w:snapToGrid w:val="0"/>
          <w:kern w:val="1"/>
          <w:szCs w:val="24"/>
        </w:rPr>
      </w:pPr>
      <w:r w:rsidRPr="00365603">
        <w:rPr>
          <w:snapToGrid w:val="0"/>
          <w:kern w:val="1"/>
          <w:szCs w:val="24"/>
        </w:rPr>
        <w:t>vu la proposition de la Commission européenne,</w:t>
      </w:r>
    </w:p>
    <w:p w:rsidR="002022AB" w:rsidRPr="00365603" w:rsidRDefault="002022AB" w:rsidP="00075179">
      <w:pPr>
        <w:spacing w:before="120" w:after="120" w:line="360" w:lineRule="auto"/>
        <w:rPr>
          <w:snapToGrid w:val="0"/>
          <w:kern w:val="1"/>
          <w:szCs w:val="24"/>
        </w:rPr>
      </w:pPr>
      <w:r w:rsidRPr="00365603">
        <w:rPr>
          <w:snapToGrid w:val="0"/>
          <w:kern w:val="1"/>
          <w:szCs w:val="24"/>
        </w:rPr>
        <w:t>après transmission du projet d'acte législatif aux parlements nationaux,</w:t>
      </w:r>
    </w:p>
    <w:p w:rsidR="002022AB" w:rsidRPr="00365603" w:rsidRDefault="002022AB" w:rsidP="00075179">
      <w:pPr>
        <w:spacing w:before="120" w:after="120" w:line="360" w:lineRule="auto"/>
        <w:rPr>
          <w:snapToGrid w:val="0"/>
          <w:kern w:val="1"/>
          <w:szCs w:val="24"/>
        </w:rPr>
      </w:pPr>
      <w:r w:rsidRPr="00365603">
        <w:rPr>
          <w:snapToGrid w:val="0"/>
          <w:kern w:val="1"/>
          <w:szCs w:val="24"/>
        </w:rPr>
        <w:t>vu l'avis du Comité économique et social européen</w:t>
      </w:r>
      <w:r w:rsidRPr="00365603">
        <w:rPr>
          <w:b/>
          <w:snapToGrid w:val="0"/>
          <w:kern w:val="1"/>
          <w:szCs w:val="24"/>
          <w:vertAlign w:val="superscript"/>
        </w:rPr>
        <w:footnoteReference w:id="85"/>
      </w:r>
      <w:r w:rsidRPr="00365603">
        <w:rPr>
          <w:snapToGrid w:val="0"/>
          <w:kern w:val="1"/>
          <w:szCs w:val="24"/>
        </w:rPr>
        <w:t>,</w:t>
      </w:r>
    </w:p>
    <w:p w:rsidR="002022AB" w:rsidRPr="00365603" w:rsidRDefault="002022AB" w:rsidP="00075179">
      <w:pPr>
        <w:spacing w:before="120" w:after="120" w:line="360" w:lineRule="auto"/>
        <w:rPr>
          <w:snapToGrid w:val="0"/>
          <w:kern w:val="1"/>
          <w:szCs w:val="24"/>
        </w:rPr>
      </w:pPr>
      <w:r w:rsidRPr="00365603">
        <w:rPr>
          <w:snapToGrid w:val="0"/>
          <w:kern w:val="1"/>
          <w:szCs w:val="24"/>
        </w:rPr>
        <w:t>statuant conformément à la procédure législative ordinaire</w:t>
      </w:r>
      <w:r w:rsidRPr="00365603">
        <w:rPr>
          <w:snapToGrid w:val="0"/>
          <w:kern w:val="1"/>
          <w:szCs w:val="24"/>
          <w:vertAlign w:val="superscript"/>
        </w:rPr>
        <w:footnoteReference w:id="86"/>
      </w:r>
      <w:r w:rsidRPr="00365603">
        <w:rPr>
          <w:snapToGrid w:val="0"/>
          <w:kern w:val="1"/>
          <w:szCs w:val="24"/>
        </w:rPr>
        <w:t>,</w:t>
      </w:r>
    </w:p>
    <w:p w:rsidR="002022AB" w:rsidRPr="00365603" w:rsidRDefault="002022AB" w:rsidP="00075179">
      <w:pPr>
        <w:spacing w:before="120" w:after="120" w:line="360" w:lineRule="auto"/>
        <w:rPr>
          <w:snapToGrid w:val="0"/>
          <w:kern w:val="1"/>
          <w:szCs w:val="24"/>
        </w:rPr>
      </w:pPr>
      <w:r w:rsidRPr="00365603">
        <w:rPr>
          <w:snapToGrid w:val="0"/>
          <w:kern w:val="1"/>
          <w:szCs w:val="24"/>
        </w:rPr>
        <w:t>considérant ce qui suit:</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br w:type="page"/>
        <w:t>(1)</w:t>
      </w:r>
      <w:r w:rsidRPr="00365603">
        <w:rPr>
          <w:snapToGrid w:val="0"/>
          <w:kern w:val="1"/>
          <w:szCs w:val="24"/>
        </w:rPr>
        <w:tab/>
        <w:t xml:space="preserve">Dans sa communication au Parlement européen, au Conseil, au Comité économique et social européen et au Comité des régions, intitulée "L'Acte pour le marché unique – Douze leviers pour stimuler la croissance et renforcer la confiance – "Ensemble pour une nouvelle croissance"", adoptée le 13 avril 2011, la Commission constate la nécessité </w:t>
      </w:r>
      <w:r w:rsidRPr="00365603">
        <w:rPr>
          <w:b/>
          <w:i/>
          <w:snapToGrid w:val="0"/>
          <w:kern w:val="1"/>
          <w:szCs w:val="24"/>
        </w:rPr>
        <w:t>de</w:t>
      </w:r>
      <w:r w:rsidRPr="00365603">
        <w:rPr>
          <w:snapToGrid w:val="0"/>
          <w:kern w:val="1"/>
          <w:szCs w:val="24"/>
        </w:rPr>
        <w:t xml:space="preserve"> </w:t>
      </w:r>
      <w:r w:rsidRPr="00365603">
        <w:rPr>
          <w:b/>
          <w:i/>
          <w:snapToGrid w:val="0"/>
          <w:kern w:val="1"/>
          <w:szCs w:val="24"/>
        </w:rPr>
        <w:t>porter</w:t>
      </w:r>
      <w:r w:rsidRPr="00365603">
        <w:rPr>
          <w:snapToGrid w:val="0"/>
          <w:kern w:val="1"/>
          <w:szCs w:val="24"/>
        </w:rPr>
        <w:t xml:space="preserve"> la transparence de l'information sociale et environnementale fournie par les entreprises de tous les secteurs </w:t>
      </w:r>
      <w:r w:rsidRPr="00365603">
        <w:rPr>
          <w:b/>
          <w:i/>
          <w:snapToGrid w:val="0"/>
          <w:kern w:val="1"/>
          <w:szCs w:val="24"/>
        </w:rPr>
        <w:t>à un niveau élevé comparable</w:t>
      </w:r>
      <w:r w:rsidRPr="00365603">
        <w:rPr>
          <w:snapToGrid w:val="0"/>
          <w:kern w:val="1"/>
          <w:szCs w:val="24"/>
        </w:rPr>
        <w:t xml:space="preserve"> </w:t>
      </w:r>
      <w:r w:rsidRPr="00365603">
        <w:rPr>
          <w:b/>
          <w:i/>
          <w:snapToGrid w:val="0"/>
          <w:kern w:val="1"/>
          <w:szCs w:val="24"/>
        </w:rPr>
        <w:t>dans tous les États membres</w:t>
      </w:r>
      <w:r w:rsidRPr="00365603">
        <w:rPr>
          <w:snapToGrid w:val="0"/>
          <w:kern w:val="1"/>
          <w:szCs w:val="24"/>
        </w:rPr>
        <w:t>.</w:t>
      </w:r>
      <w:r w:rsidRPr="00365603">
        <w:rPr>
          <w:b/>
          <w:i/>
          <w:snapToGrid w:val="0"/>
          <w:kern w:val="1"/>
          <w:szCs w:val="24"/>
        </w:rPr>
        <w:t xml:space="preserve"> Ceci est pleinement cohérent avec la possibilité pour les États membres d’exiger, le cas échéant, d'autres améliorations de la transparence en matière d'informations non financières dans les entreprises, ce qui nécessite, par nature, un effort constant.</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(2)</w:t>
      </w:r>
      <w:r w:rsidRPr="00365603">
        <w:rPr>
          <w:snapToGrid w:val="0"/>
          <w:kern w:val="1"/>
          <w:szCs w:val="24"/>
        </w:rPr>
        <w:tab/>
        <w:t xml:space="preserve">La nécessité d'améliorer la communication, par les </w:t>
      </w:r>
      <w:r w:rsidRPr="00365603">
        <w:rPr>
          <w:b/>
          <w:i/>
          <w:snapToGrid w:val="0"/>
          <w:kern w:val="1"/>
          <w:szCs w:val="24"/>
        </w:rPr>
        <w:t>entreprises</w:t>
      </w:r>
      <w:r w:rsidRPr="00365603">
        <w:rPr>
          <w:snapToGrid w:val="0"/>
          <w:kern w:val="1"/>
          <w:szCs w:val="24"/>
        </w:rPr>
        <w:t>, d'informations sociales et environnementales, en présentant une proposition législative dans ce domaine, a été réitérée dans la communication de la Commission au Parlement européen, au Conseil, au Comité économique et social européen et au Comité des régions, intitulée "Responsabilité sociale des entreprises: une nouvelle stratégie de l'UE pour la période 2011-2014", adoptée le 25 octobre 2011.</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br w:type="page"/>
        <w:t>(3)</w:t>
      </w:r>
      <w:r w:rsidRPr="00365603">
        <w:rPr>
          <w:snapToGrid w:val="0"/>
          <w:kern w:val="1"/>
          <w:szCs w:val="24"/>
        </w:rPr>
        <w:tab/>
        <w:t xml:space="preserve">Dans ses résolutions du 6 février 2013 portant respectivement sur la "Responsabilité sociale des entreprises: comportement responsable et transparent des entreprises et croissance durable" et sur la "Responsabilité sociale des entreprises: promouvoir les intérêts de la société et ouvrir la voie à une reprise durable et inclusive", le Parlement européen a reconnu l'importance, pour les entreprises, de divulguer des informations sur la durabilité, telles que des facteurs sociaux et environnementaux, afin de recenser les risques en matière de durabilité et d'accroître la confiance des investisseurs et des consommateurs▌. </w:t>
      </w:r>
      <w:r w:rsidRPr="00365603">
        <w:rPr>
          <w:b/>
          <w:i/>
          <w:snapToGrid w:val="0"/>
          <w:szCs w:val="24"/>
        </w:rPr>
        <w:t xml:space="preserve">La communication d'informations non financières est en effet essentielle pour mener à bien la transition vers une économie mondiale durable, en associant la rentabilité à long terme à la justice sociale et à la protection de l'environnement. Dans ce contexte, la communication d'informations non financières contribue à l'évaluation, au suivi et à la gestion des performances des entreprises et de leurs incidences sur la société. Ainsi, le Parlement européen </w:t>
      </w:r>
      <w:r w:rsidRPr="00365603">
        <w:rPr>
          <w:snapToGrid w:val="0"/>
          <w:szCs w:val="24"/>
        </w:rPr>
        <w:t>a demandé à la Commission</w:t>
      </w:r>
      <w:r w:rsidRPr="00365603">
        <w:rPr>
          <w:b/>
          <w:i/>
          <w:snapToGrid w:val="0"/>
          <w:szCs w:val="24"/>
        </w:rPr>
        <w:t xml:space="preserve"> </w:t>
      </w:r>
      <w:r w:rsidRPr="00365603">
        <w:rPr>
          <w:snapToGrid w:val="0"/>
          <w:szCs w:val="24"/>
        </w:rPr>
        <w:t>de présenter une proposition</w:t>
      </w:r>
      <w:r w:rsidRPr="00365603">
        <w:rPr>
          <w:b/>
          <w:i/>
          <w:snapToGrid w:val="0"/>
          <w:szCs w:val="24"/>
        </w:rPr>
        <w:t xml:space="preserve"> législative </w:t>
      </w:r>
      <w:r w:rsidRPr="00365603">
        <w:rPr>
          <w:snapToGrid w:val="0"/>
          <w:szCs w:val="24"/>
        </w:rPr>
        <w:t>sur la communication d'informations non financières par les entreprises</w:t>
      </w:r>
      <w:r w:rsidRPr="00365603">
        <w:rPr>
          <w:b/>
          <w:i/>
          <w:snapToGrid w:val="0"/>
          <w:szCs w:val="24"/>
        </w:rPr>
        <w:t xml:space="preserve"> qui offre une marge de manœuvre importante, afin de tenir compte de la nature multidimensionnelle de la responsabilité sociale des entreprises (RSE) et de la mise en œuvre diversifiée des politiques de RSE par les entreprises, associée à un niveau suffisant de comparabilité afin de répondre aux besoins des investisseurs et des autres parties prenantes, ainsi que de la nécessité de fournir aux consommateurs un accès facile aux informations relatives à l'incidence des entreprises sur la société.</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br w:type="page"/>
        <w:t>(4)</w:t>
      </w:r>
      <w:r w:rsidRPr="00365603">
        <w:rPr>
          <w:snapToGrid w:val="0"/>
          <w:kern w:val="1"/>
          <w:szCs w:val="24"/>
        </w:rPr>
        <w:tab/>
        <w:t xml:space="preserve">La coordination des dispositions nationales relatives à la communication d'informations non financières par </w:t>
      </w:r>
      <w:r w:rsidRPr="00365603">
        <w:rPr>
          <w:b/>
          <w:i/>
          <w:snapToGrid w:val="0"/>
          <w:kern w:val="1"/>
          <w:szCs w:val="24"/>
        </w:rPr>
        <w:t>certaines</w:t>
      </w:r>
      <w:r w:rsidRPr="00365603">
        <w:rPr>
          <w:snapToGrid w:val="0"/>
          <w:kern w:val="1"/>
          <w:szCs w:val="24"/>
        </w:rPr>
        <w:t xml:space="preserve"> grandes </w:t>
      </w:r>
      <w:r w:rsidRPr="00365603">
        <w:rPr>
          <w:b/>
          <w:i/>
          <w:snapToGrid w:val="0"/>
          <w:kern w:val="1"/>
          <w:szCs w:val="24"/>
        </w:rPr>
        <w:t>entreprises</w:t>
      </w:r>
      <w:r w:rsidRPr="00365603">
        <w:rPr>
          <w:snapToGrid w:val="0"/>
          <w:kern w:val="1"/>
          <w:szCs w:val="24"/>
        </w:rPr>
        <w:t xml:space="preserve"> ▌est importante pour les intérêts des </w:t>
      </w:r>
      <w:r w:rsidRPr="00365603">
        <w:rPr>
          <w:b/>
          <w:i/>
          <w:snapToGrid w:val="0"/>
          <w:kern w:val="1"/>
          <w:szCs w:val="24"/>
        </w:rPr>
        <w:t>entreprises</w:t>
      </w:r>
      <w:r w:rsidRPr="00365603">
        <w:rPr>
          <w:snapToGrid w:val="0"/>
          <w:kern w:val="1"/>
          <w:szCs w:val="24"/>
        </w:rPr>
        <w:t>, des actionnaires et des autres parties concernées. Une coordination dans ces domaines est nécessaire, car la plupart de ces sociétés opèrent dans plus d'un État membre.</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(5)</w:t>
      </w:r>
      <w:r w:rsidRPr="00365603">
        <w:rPr>
          <w:snapToGrid w:val="0"/>
          <w:kern w:val="1"/>
          <w:szCs w:val="24"/>
        </w:rPr>
        <w:tab/>
        <w:t xml:space="preserve">Il y a également lieu d'établir un certain nombre d'exigences légales minimales en ce qui concerne la portée des informations qui doivent être mises à la disposition du public </w:t>
      </w:r>
      <w:r w:rsidRPr="00365603">
        <w:rPr>
          <w:b/>
          <w:i/>
          <w:snapToGrid w:val="0"/>
          <w:kern w:val="1"/>
          <w:szCs w:val="24"/>
        </w:rPr>
        <w:t>et des autorités</w:t>
      </w:r>
      <w:r w:rsidRPr="00365603">
        <w:rPr>
          <w:snapToGrid w:val="0"/>
          <w:kern w:val="1"/>
          <w:szCs w:val="24"/>
        </w:rPr>
        <w:t xml:space="preserve"> par les entreprises dans l'ensemble de l'Union. </w:t>
      </w:r>
      <w:r w:rsidRPr="00365603">
        <w:rPr>
          <w:b/>
          <w:i/>
          <w:snapToGrid w:val="0"/>
          <w:kern w:val="1"/>
          <w:szCs w:val="24"/>
        </w:rPr>
        <w:t>Les entreprises soumises à la présente directive</w:t>
      </w:r>
      <w:r w:rsidRPr="00365603">
        <w:rPr>
          <w:snapToGrid w:val="0"/>
          <w:kern w:val="1"/>
          <w:szCs w:val="24"/>
        </w:rPr>
        <w:t xml:space="preserve"> devraient donner une image complète et fidèle </w:t>
      </w:r>
      <w:r w:rsidRPr="00365603">
        <w:rPr>
          <w:b/>
          <w:i/>
          <w:snapToGrid w:val="0"/>
          <w:kern w:val="1"/>
          <w:szCs w:val="24"/>
        </w:rPr>
        <w:t>de leurs</w:t>
      </w:r>
      <w:r w:rsidRPr="00365603">
        <w:rPr>
          <w:snapToGrid w:val="0"/>
          <w:kern w:val="1"/>
          <w:szCs w:val="24"/>
        </w:rPr>
        <w:t xml:space="preserve"> politiques, résultats et risques▌.</w:t>
      </w:r>
    </w:p>
    <w:p w:rsidR="002022AB" w:rsidRPr="00365603" w:rsidRDefault="002022AB" w:rsidP="00075179">
      <w:pPr>
        <w:spacing w:before="120" w:after="120" w:line="360" w:lineRule="auto"/>
        <w:ind w:left="851" w:hanging="851"/>
        <w:rPr>
          <w:snapToGrid w:val="0"/>
          <w:kern w:val="1"/>
          <w:szCs w:val="24"/>
          <w:u w:val="single"/>
        </w:rPr>
      </w:pPr>
      <w:r w:rsidRPr="00365603">
        <w:rPr>
          <w:snapToGrid w:val="0"/>
          <w:kern w:val="1"/>
          <w:szCs w:val="24"/>
        </w:rPr>
        <w:br w:type="page"/>
        <w:t>(6)</w:t>
      </w:r>
      <w:r w:rsidRPr="00365603">
        <w:rPr>
          <w:snapToGrid w:val="0"/>
          <w:kern w:val="1"/>
          <w:szCs w:val="24"/>
        </w:rPr>
        <w:tab/>
        <w:t xml:space="preserve">Afin de renforcer la cohérence et la comparabilité des informations non financières publiées dans l'ensemble de l'Union, </w:t>
      </w:r>
      <w:r w:rsidRPr="00365603">
        <w:rPr>
          <w:b/>
          <w:i/>
          <w:snapToGrid w:val="0"/>
          <w:kern w:val="1"/>
          <w:szCs w:val="24"/>
        </w:rPr>
        <w:t>certaines grandes entreprises</w:t>
      </w:r>
      <w:r w:rsidRPr="00365603">
        <w:rPr>
          <w:snapToGrid w:val="0"/>
          <w:kern w:val="1"/>
          <w:szCs w:val="24"/>
        </w:rPr>
        <w:t xml:space="preserve"> devraient </w:t>
      </w:r>
      <w:r w:rsidRPr="00365603">
        <w:rPr>
          <w:b/>
          <w:i/>
          <w:snapToGrid w:val="0"/>
          <w:kern w:val="1"/>
          <w:szCs w:val="24"/>
        </w:rPr>
        <w:t>établir</w:t>
      </w:r>
      <w:r w:rsidRPr="00365603">
        <w:rPr>
          <w:snapToGrid w:val="0"/>
          <w:kern w:val="1"/>
          <w:szCs w:val="24"/>
        </w:rPr>
        <w:t xml:space="preserve"> une déclaration non financière comprenant des informations relatives au minimum aux questions d'environnement, sociales et de personnel, de respect des droits de l'homme et de lutte contre la corruption. Cette déclaration devrait contenir une description des politiques, des résultats et des risques liés à ces questions </w:t>
      </w:r>
      <w:r w:rsidRPr="00365603">
        <w:rPr>
          <w:b/>
          <w:i/>
          <w:snapToGrid w:val="0"/>
          <w:kern w:val="1"/>
          <w:szCs w:val="24"/>
        </w:rPr>
        <w:t>et être incluse dans le rapport de gestion de l'entreprise concernée</w:t>
      </w:r>
      <w:r w:rsidRPr="00365603">
        <w:rPr>
          <w:snapToGrid w:val="0"/>
          <w:kern w:val="1"/>
          <w:szCs w:val="24"/>
        </w:rPr>
        <w:t>.</w:t>
      </w:r>
      <w:r w:rsidRPr="00365603">
        <w:rPr>
          <w:b/>
          <w:i/>
          <w:snapToGrid w:val="0"/>
          <w:kern w:val="1"/>
          <w:szCs w:val="24"/>
        </w:rPr>
        <w:t xml:space="preserve"> </w:t>
      </w:r>
      <w:r w:rsidRPr="00365603">
        <w:rPr>
          <w:b/>
          <w:i/>
          <w:snapToGrid w:val="0"/>
          <w:szCs w:val="24"/>
        </w:rPr>
        <w:t>La déclaration non financière devrait également comprendre des informations sur les procédures de saine diligence mises en œuvre par l'entreprise, également , lorsque cela s'avère nécessaire et proportionné, en ce qui concerne sa chaîne d'approvisionnement et de sous-traitance, afin d'identifier, de prévenir et d'atténuer les incidences négatives existantes et potentielles.</w:t>
      </w:r>
      <w:r w:rsidRPr="00365603">
        <w:rPr>
          <w:b/>
          <w:snapToGrid w:val="0"/>
          <w:szCs w:val="24"/>
        </w:rPr>
        <w:t xml:space="preserve"> </w:t>
      </w:r>
      <w:r w:rsidRPr="00365603">
        <w:rPr>
          <w:b/>
          <w:i/>
          <w:snapToGrid w:val="0"/>
          <w:szCs w:val="24"/>
        </w:rPr>
        <w:t>Il devrait être possible pour les États membres d'exempter des entreprises relevant de la présente directive de l'obligation d'établir une déclaration non financière lorsqu'un rapport distinct correspondant au même exercice et couvrant le même contenu est fourni par l’entreprise.</w:t>
      </w:r>
    </w:p>
    <w:p w:rsidR="002022AB" w:rsidRPr="00365603" w:rsidRDefault="002022AB" w:rsidP="00075179">
      <w:pPr>
        <w:spacing w:before="120" w:after="120" w:line="360" w:lineRule="auto"/>
        <w:ind w:left="851" w:hanging="851"/>
        <w:rPr>
          <w:snapToGrid w:val="0"/>
          <w:kern w:val="1"/>
          <w:szCs w:val="24"/>
        </w:rPr>
      </w:pPr>
      <w:r w:rsidRPr="00365603">
        <w:rPr>
          <w:b/>
          <w:snapToGrid w:val="0"/>
          <w:kern w:val="1"/>
          <w:szCs w:val="24"/>
          <w:u w:val="single"/>
        </w:rPr>
        <w:br w:type="page"/>
      </w:r>
      <w:r w:rsidRPr="00365603">
        <w:rPr>
          <w:b/>
          <w:i/>
          <w:snapToGrid w:val="0"/>
          <w:kern w:val="1"/>
          <w:szCs w:val="24"/>
        </w:rPr>
        <w:t>(7)</w:t>
      </w:r>
      <w:r w:rsidRPr="00365603">
        <w:rPr>
          <w:b/>
          <w:i/>
          <w:snapToGrid w:val="0"/>
          <w:kern w:val="1"/>
          <w:szCs w:val="24"/>
        </w:rPr>
        <w:tab/>
      </w:r>
      <w:r w:rsidRPr="00365603">
        <w:rPr>
          <w:b/>
          <w:i/>
          <w:snapToGrid w:val="0"/>
          <w:szCs w:val="24"/>
        </w:rPr>
        <w:t xml:space="preserve">Lorsque les entreprises sont tenues d'établir une déclaration non financière, , la déclaration devrait comporter, s'agissant des questions environnementales, des détails sur les incidences actuelles et prévisibles des activités de l'entreprise sur l'environnement et, le cas échéant, sur la santé et  la sécurité, l'utilisation d'énergie renouvelable et/ou non renouvelable,  les émissions de gaz à effet de serre, l'utilisation de l'eau et la pollution de l'air. En ce qui concerne les questions sociales et de personnel, les informations fournies dans la déclaration peuvent porter sur les mesures prises pour garantir l'égalité hommes-femmes, </w:t>
      </w:r>
      <w:r>
        <w:rPr>
          <w:b/>
          <w:i/>
          <w:snapToGrid w:val="0"/>
          <w:szCs w:val="24"/>
        </w:rPr>
        <w:t xml:space="preserve">la mise en </w:t>
      </w:r>
      <w:r w:rsidRPr="00365603">
        <w:rPr>
          <w:b/>
          <w:i/>
          <w:snapToGrid w:val="0"/>
          <w:szCs w:val="24"/>
        </w:rPr>
        <w:t>œuvre des conventions fondamentales de l'Organisation internationale du travail (OIT), les conditions de travail, le dialogue social, le respect du droit des travailleurs à être informés et consultés, le respect des droits syndicaux, la santé et la sécurité sur le lieu de travail, le dialogue avec les communautés locales et/ou les actions entreprises en vue de garantir la protection et le développement de ces communautés. Pour ce qui est des droits de l'homme et de la lutte contre la corruption, la déclaration non financière pourrait inclure des informations sur la prévention des violations des droits de l'homme et/ou les instruments en vigueur pour lutter contre la corruption.</w:t>
      </w:r>
    </w:p>
    <w:p w:rsidR="002022AB" w:rsidRPr="00365603" w:rsidRDefault="002022AB" w:rsidP="00075179">
      <w:pPr>
        <w:tabs>
          <w:tab w:val="left" w:pos="7602"/>
        </w:tabs>
        <w:spacing w:before="120" w:after="120" w:line="360" w:lineRule="auto"/>
        <w:ind w:left="851" w:hanging="851"/>
        <w:rPr>
          <w:snapToGrid w:val="0"/>
          <w:kern w:val="1"/>
          <w:szCs w:val="24"/>
        </w:rPr>
      </w:pPr>
      <w:r w:rsidRPr="00365603">
        <w:rPr>
          <w:b/>
          <w:i/>
          <w:snapToGrid w:val="0"/>
          <w:kern w:val="1"/>
          <w:szCs w:val="24"/>
        </w:rPr>
        <w:br w:type="page"/>
        <w:t>(8)</w:t>
      </w:r>
      <w:r w:rsidRPr="00365603">
        <w:rPr>
          <w:b/>
          <w:i/>
          <w:snapToGrid w:val="0"/>
          <w:kern w:val="1"/>
          <w:szCs w:val="24"/>
        </w:rPr>
        <w:tab/>
      </w:r>
      <w:r w:rsidRPr="00365603">
        <w:rPr>
          <w:b/>
          <w:i/>
          <w:snapToGrid w:val="0"/>
          <w:szCs w:val="24"/>
        </w:rPr>
        <w:t>Les entreprises relevant de la présente directive devraient fournir des informations pertinentes en ce qui concerne les domaines qui apparaissent comme particulièrement vulnérables face à la concrétisation de principaux risques de graves incidences, de même que pour les risques qui sont déjà devenus réalité. L'importance de ces incidences devrait être évaluée à l'aune de leur ampleur et de leur gravité. Les risques d'incidences négatives peuvent découler des propres activités de l’entreprise ou peuvent être liés à ses opérations et, lorsque cela s'avère nécessaire et proportionné, à ses produits, services et relations d'affaires, y compris ses chaînes d'approvisionnement et de sous-traitance. Ceci ne saurait entraîner de surcharge administrative inutile pour les petites et moyennes entreprises.</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(9)</w:t>
      </w:r>
      <w:r w:rsidRPr="00365603">
        <w:rPr>
          <w:snapToGrid w:val="0"/>
          <w:kern w:val="1"/>
          <w:szCs w:val="24"/>
        </w:rPr>
        <w:tab/>
        <w:t xml:space="preserve">Pour fournir ces informations, les </w:t>
      </w:r>
      <w:r w:rsidRPr="00365603">
        <w:rPr>
          <w:b/>
          <w:i/>
          <w:snapToGrid w:val="0"/>
          <w:kern w:val="1"/>
          <w:szCs w:val="24"/>
        </w:rPr>
        <w:t>grandes entreprises relevant de la présente directive</w:t>
      </w:r>
      <w:r w:rsidRPr="00365603">
        <w:rPr>
          <w:snapToGrid w:val="0"/>
          <w:kern w:val="1"/>
          <w:szCs w:val="24"/>
        </w:rPr>
        <w:t xml:space="preserve"> peuvent s'appuyer sur des cadres nationaux et de l'Union, tels que le système de management environnemental et d'audit (EMAS), ainsi que sur des cadres internationaux, tels que le Pacte mondial des Nations unies (ONU), les principes directeurs relatifs aux entreprises et aux droits de l'homme mettant en œuvre le cadre de référence "protéger, respecter et réparer" des Nations unies, les principes directeurs de l'Organisation de coopération et de développement économiques (OCDE) à l'intention des entreprises multinationales, la norme ISO 26000 de l'Organisation internationale de normalisation, la déclaration de principes tripartite sur les entreprises multinationales et la politique sociale de l'Organisation internationale du travail (OIT)</w:t>
      </w:r>
      <w:r w:rsidRPr="00365603">
        <w:rPr>
          <w:b/>
          <w:i/>
          <w:snapToGrid w:val="0"/>
          <w:kern w:val="1"/>
          <w:szCs w:val="24"/>
        </w:rPr>
        <w:t xml:space="preserve">, </w:t>
      </w:r>
      <w:r w:rsidRPr="00365603">
        <w:rPr>
          <w:snapToGrid w:val="0"/>
          <w:kern w:val="1"/>
          <w:szCs w:val="24"/>
        </w:rPr>
        <w:t xml:space="preserve">la "Global Reporting Initiative" </w:t>
      </w:r>
      <w:r w:rsidRPr="00365603">
        <w:rPr>
          <w:b/>
          <w:i/>
          <w:snapToGrid w:val="0"/>
          <w:kern w:val="1"/>
          <w:szCs w:val="24"/>
        </w:rPr>
        <w:t>ou d'autres cadres internationaux reconnus</w:t>
      </w:r>
      <w:r w:rsidRPr="00365603">
        <w:rPr>
          <w:snapToGrid w:val="0"/>
          <w:kern w:val="1"/>
          <w:szCs w:val="24"/>
        </w:rPr>
        <w:t>.</w:t>
      </w:r>
    </w:p>
    <w:p w:rsidR="002022AB" w:rsidRPr="00365603" w:rsidRDefault="002022AB" w:rsidP="00075179">
      <w:pPr>
        <w:spacing w:before="120" w:after="120" w:line="360" w:lineRule="auto"/>
        <w:ind w:left="851" w:hanging="851"/>
        <w:rPr>
          <w:snapToGrid w:val="0"/>
          <w:kern w:val="1"/>
          <w:szCs w:val="24"/>
        </w:rPr>
      </w:pPr>
      <w:r w:rsidRPr="00365603">
        <w:rPr>
          <w:b/>
          <w:i/>
          <w:snapToGrid w:val="0"/>
          <w:szCs w:val="24"/>
        </w:rPr>
        <w:br w:type="page"/>
        <w:t>(10)</w:t>
      </w:r>
      <w:r w:rsidRPr="00365603">
        <w:rPr>
          <w:b/>
          <w:i/>
          <w:snapToGrid w:val="0"/>
          <w:szCs w:val="24"/>
        </w:rPr>
        <w:tab/>
        <w:t>Les États membres devraient veiller à ce que des dispositifs adéquats et efficaces soient en place pour garantir la communication d'informations non financières par les entreprises, conformément à la présente directive. À cette fin, les États membres devraient garantir l'établissement de procédures nationales efficaces afin d'assurer le respect des obligations prévues par la présente directive, et faire en sorte que ces procédures soient mises à la disposition de toutes les personnes et entités juridiques ayant un intérêt légitime, conformément au droit national, à veiller au respect des dispositions de la présente directive.</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(11)</w:t>
      </w:r>
      <w:r w:rsidRPr="00365603">
        <w:rPr>
          <w:snapToGrid w:val="0"/>
          <w:kern w:val="1"/>
          <w:szCs w:val="24"/>
        </w:rPr>
        <w:tab/>
        <w:t>Le paragraphe 47 du document final de la conférence des Nations unies "Rio +20", intitulée "L'avenir que nous voulons", reconnaît l'importance de la communication, par les entreprises, d'informations sur l'impact environnemental de leurs activités et encourage les entreprises à étudier la possibilité d'insérer dans leurs rapports périodiques des informations sur la soutenabilité de leurs activités. Il encourage également le secteur industriel, les gouvernements intéressés ainsi que les parties prenantes concernées à élaborer, avec l'appui du système des Nations Unies s'il y a lieu, des modèles de meilleures pratiques et à faciliter les actions en vue de l’insertion d'informations financières et non financières, en faisant fond sur les enseignements tirés des cadres existants.</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br w:type="page"/>
        <w:t>(12)</w:t>
      </w:r>
      <w:r w:rsidRPr="00365603">
        <w:rPr>
          <w:snapToGrid w:val="0"/>
          <w:kern w:val="1"/>
          <w:szCs w:val="24"/>
        </w:rPr>
        <w:tab/>
        <w:t>L'accès des investisseurs aux informations non financières est une étape vers la réalisation de l'objectif intermédiaire de la feuille de route pour une Europe efficace dans l'utilisation des ressources consistant à mettre en place, d'ici à 2020, des mesures d'incitation par le marché et les politiques récompensant les entreprises qui investissent dans une utilisation efficace des ressources.</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(13)</w:t>
      </w:r>
      <w:r w:rsidRPr="00365603">
        <w:rPr>
          <w:snapToGrid w:val="0"/>
          <w:kern w:val="1"/>
          <w:szCs w:val="24"/>
        </w:rPr>
        <w:tab/>
        <w:t xml:space="preserve">Dans ses conclusions des 24 et 25 mars 2011, le Conseil européen a demandé que les contraintes réglementaires globales, en particulier celles qui pèsent sur les petites et moyennes entreprises (PME), soient réduites tant au niveau européen qu'au niveau national, et a proposé des mesures destinées à renforcer la productivité, et la stratégie Europe 2020 pour une croissance intelligente, durable et inclusive vise à améliorer l'environnement des PME et à promouvoir leur internationalisation. Ainsi, conformément au principe "priorité aux PME", les exigences de publicité prévues par </w:t>
      </w:r>
      <w:r w:rsidRPr="00365603">
        <w:rPr>
          <w:b/>
          <w:i/>
          <w:snapToGrid w:val="0"/>
          <w:kern w:val="1"/>
          <w:szCs w:val="24"/>
        </w:rPr>
        <w:t>la directive 2013/34/UE</w:t>
      </w:r>
      <w:r w:rsidRPr="00365603">
        <w:rPr>
          <w:b/>
          <w:i/>
          <w:snapToGrid w:val="0"/>
          <w:kern w:val="1"/>
          <w:szCs w:val="24"/>
          <w:vertAlign w:val="superscript"/>
        </w:rPr>
        <w:footnoteReference w:id="87"/>
      </w:r>
      <w:r w:rsidRPr="00365603">
        <w:rPr>
          <w:snapToGrid w:val="0"/>
          <w:kern w:val="1"/>
          <w:szCs w:val="24"/>
        </w:rPr>
        <w:t xml:space="preserve"> ne devraient s'appliquer qu'à certaines grandes entreprises et à certains groupes.</w:t>
      </w:r>
    </w:p>
    <w:p w:rsidR="002022AB" w:rsidRPr="00365603" w:rsidRDefault="002022AB" w:rsidP="00075179">
      <w:pPr>
        <w:spacing w:before="120" w:after="120" w:line="360" w:lineRule="auto"/>
        <w:ind w:left="851" w:hanging="851"/>
        <w:rPr>
          <w:b/>
          <w:snapToGrid w:val="0"/>
          <w:szCs w:val="24"/>
          <w:u w:val="single"/>
        </w:rPr>
      </w:pPr>
      <w:r w:rsidRPr="00365603">
        <w:rPr>
          <w:snapToGrid w:val="0"/>
          <w:kern w:val="1"/>
          <w:szCs w:val="24"/>
        </w:rPr>
        <w:br w:type="page"/>
        <w:t>(14)</w:t>
      </w:r>
      <w:r w:rsidRPr="00365603">
        <w:rPr>
          <w:snapToGrid w:val="0"/>
          <w:kern w:val="1"/>
          <w:szCs w:val="24"/>
        </w:rPr>
        <w:tab/>
        <w:t xml:space="preserve">Le champ d'application de ces exigences de publication d'informations non financières devrait être défini en fonction du nombre moyen de salariés, du total </w:t>
      </w:r>
      <w:r w:rsidRPr="00365603">
        <w:rPr>
          <w:b/>
          <w:i/>
          <w:snapToGrid w:val="0"/>
          <w:kern w:val="1"/>
          <w:szCs w:val="24"/>
        </w:rPr>
        <w:t>du bilan</w:t>
      </w:r>
      <w:r w:rsidRPr="00365603">
        <w:rPr>
          <w:snapToGrid w:val="0"/>
          <w:kern w:val="1"/>
          <w:szCs w:val="24"/>
        </w:rPr>
        <w:t xml:space="preserve"> et du chiffre d'affaires </w:t>
      </w:r>
      <w:r w:rsidRPr="00365603">
        <w:rPr>
          <w:b/>
          <w:i/>
          <w:snapToGrid w:val="0"/>
          <w:kern w:val="1"/>
          <w:szCs w:val="24"/>
        </w:rPr>
        <w:t>net</w:t>
      </w:r>
      <w:r w:rsidRPr="00365603">
        <w:rPr>
          <w:snapToGrid w:val="0"/>
          <w:kern w:val="1"/>
          <w:szCs w:val="24"/>
        </w:rPr>
        <w:t xml:space="preserve">. Les PME devraient être exemptées d'exigences supplémentaires, et l'obligation </w:t>
      </w:r>
      <w:r w:rsidRPr="00365603">
        <w:rPr>
          <w:b/>
          <w:i/>
          <w:snapToGrid w:val="0"/>
          <w:kern w:val="1"/>
          <w:szCs w:val="24"/>
        </w:rPr>
        <w:t>de divulguer</w:t>
      </w:r>
      <w:r w:rsidRPr="00365603">
        <w:rPr>
          <w:snapToGrid w:val="0"/>
          <w:kern w:val="1"/>
          <w:szCs w:val="24"/>
        </w:rPr>
        <w:t xml:space="preserve"> une déclaration non financière ▌ne devrait s'appliquer qu'aux </w:t>
      </w:r>
      <w:r w:rsidRPr="00365603">
        <w:rPr>
          <w:b/>
          <w:i/>
          <w:snapToGrid w:val="0"/>
          <w:kern w:val="1"/>
          <w:szCs w:val="24"/>
        </w:rPr>
        <w:t>grandes entreprises</w:t>
      </w:r>
      <w:r w:rsidRPr="00365603">
        <w:rPr>
          <w:snapToGrid w:val="0"/>
          <w:kern w:val="1"/>
          <w:szCs w:val="24"/>
        </w:rPr>
        <w:t xml:space="preserve"> </w:t>
      </w:r>
      <w:r w:rsidRPr="00365603">
        <w:rPr>
          <w:b/>
          <w:i/>
          <w:snapToGrid w:val="0"/>
          <w:kern w:val="1"/>
          <w:szCs w:val="24"/>
        </w:rPr>
        <w:t xml:space="preserve">qui sont des entités d'intérêt public et aux entités d'intérêt public qui sont des entreprises mères d'un grand groupe, </w:t>
      </w:r>
      <w:r w:rsidRPr="00365603">
        <w:rPr>
          <w:snapToGrid w:val="0"/>
          <w:kern w:val="1"/>
          <w:szCs w:val="24"/>
        </w:rPr>
        <w:t>qui emploient en moyenne</w:t>
      </w:r>
      <w:r w:rsidRPr="00365603">
        <w:rPr>
          <w:b/>
          <w:i/>
          <w:snapToGrid w:val="0"/>
          <w:kern w:val="1"/>
          <w:szCs w:val="24"/>
        </w:rPr>
        <w:t>,</w:t>
      </w:r>
      <w:r w:rsidRPr="00365603">
        <w:rPr>
          <w:snapToGrid w:val="0"/>
          <w:kern w:val="1"/>
          <w:szCs w:val="24"/>
        </w:rPr>
        <w:t xml:space="preserve"> </w:t>
      </w:r>
      <w:r w:rsidRPr="00365603">
        <w:rPr>
          <w:b/>
          <w:i/>
          <w:snapToGrid w:val="0"/>
          <w:kern w:val="1"/>
          <w:szCs w:val="24"/>
        </w:rPr>
        <w:t>dans chaque cas,</w:t>
      </w:r>
      <w:r w:rsidRPr="00365603">
        <w:rPr>
          <w:snapToGrid w:val="0"/>
          <w:kern w:val="1"/>
          <w:szCs w:val="24"/>
        </w:rPr>
        <w:t xml:space="preserve"> plus de 500 salariés sur une base consolidée pour les groupes ▌. </w:t>
      </w:r>
      <w:r w:rsidRPr="00365603">
        <w:rPr>
          <w:b/>
          <w:i/>
          <w:snapToGrid w:val="0"/>
          <w:kern w:val="1"/>
          <w:szCs w:val="24"/>
        </w:rPr>
        <w:t>Ceci ne devrait pas empêcher les États membres d'exiger la communication d'informations non financières des entreprises et des groupes autres que les entreprises qui sont de grandes entités d'intérêt public, et des entités d'intérêt public qui sont des entreprises mères d'un grand groupe.</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w:t>
      </w:r>
    </w:p>
    <w:p w:rsidR="002022AB" w:rsidRPr="00365603" w:rsidRDefault="002022AB" w:rsidP="00075179">
      <w:pPr>
        <w:spacing w:before="120" w:after="120" w:line="360" w:lineRule="auto"/>
        <w:ind w:left="851" w:hanging="851"/>
        <w:rPr>
          <w:snapToGrid w:val="0"/>
          <w:szCs w:val="24"/>
        </w:rPr>
      </w:pPr>
      <w:r w:rsidRPr="00365603">
        <w:rPr>
          <w:snapToGrid w:val="0"/>
          <w:kern w:val="1"/>
          <w:szCs w:val="24"/>
        </w:rPr>
        <w:t>(15)</w:t>
      </w:r>
      <w:r w:rsidRPr="00365603">
        <w:rPr>
          <w:snapToGrid w:val="0"/>
          <w:kern w:val="1"/>
          <w:szCs w:val="24"/>
        </w:rPr>
        <w:tab/>
        <w:t>Nombre d'entreprises qui relèvent du champ d’application de la directive </w:t>
      </w:r>
      <w:r w:rsidRPr="00365603">
        <w:rPr>
          <w:b/>
          <w:i/>
          <w:snapToGrid w:val="0"/>
          <w:kern w:val="1"/>
          <w:szCs w:val="24"/>
        </w:rPr>
        <w:t>2013/34/UE</w:t>
      </w:r>
      <w:r w:rsidRPr="00365603">
        <w:rPr>
          <w:snapToGrid w:val="0"/>
          <w:kern w:val="1"/>
          <w:szCs w:val="24"/>
        </w:rPr>
        <w:t xml:space="preserve"> font partie d'un groupe d'entreprises. Les rapports consolidés de gestion devraient être établis de manière à ce que les informations concernant de tels groupes d’entreprises puissent être portées à la connaissance des membres et des tiers. Il y a dès lors lieu de coordonnerles législations nationales sur les rapports consolidés de gestion pour réaliser les objectifs de comparabilité et de cohérence des informations que les entreprises devraient publier au sein de l'Union.</w:t>
      </w:r>
    </w:p>
    <w:p w:rsidR="002022AB" w:rsidRPr="00365603" w:rsidRDefault="002022AB" w:rsidP="00075179">
      <w:pPr>
        <w:spacing w:before="120" w:after="120" w:line="360" w:lineRule="auto"/>
        <w:ind w:left="851" w:hanging="851"/>
        <w:rPr>
          <w:snapToGrid w:val="0"/>
          <w:szCs w:val="24"/>
          <w:u w:val="single"/>
        </w:rPr>
      </w:pPr>
      <w:r w:rsidRPr="00365603">
        <w:rPr>
          <w:snapToGrid w:val="0"/>
          <w:kern w:val="1"/>
          <w:szCs w:val="24"/>
        </w:rPr>
        <w:br w:type="page"/>
        <w:t>(16)</w:t>
      </w:r>
      <w:r w:rsidRPr="00365603">
        <w:rPr>
          <w:snapToGrid w:val="0"/>
          <w:kern w:val="1"/>
          <w:szCs w:val="24"/>
        </w:rPr>
        <w:tab/>
      </w:r>
      <w:r w:rsidRPr="00365603">
        <w:rPr>
          <w:b/>
          <w:i/>
          <w:snapToGrid w:val="0"/>
          <w:kern w:val="1"/>
          <w:szCs w:val="24"/>
        </w:rPr>
        <w:t xml:space="preserve">Les contrôleurs légaux des comptes et les cabinets d'audit devraient simplement vérifier que la déclaration non financière ou le rapport distinct ont bien été fournis. En outre, il devrait être possible pour les États membres d’exiger que les informations figurant dans la déclaration non financière ou dans le rapport distinct soient vérifiées par un prestataire de services d'assurance indépendant. </w:t>
      </w:r>
    </w:p>
    <w:p w:rsidR="002022AB" w:rsidRPr="00365603" w:rsidRDefault="002022AB" w:rsidP="00075179">
      <w:pPr>
        <w:spacing w:before="120" w:after="120" w:line="360" w:lineRule="auto"/>
        <w:ind w:left="851" w:hanging="851"/>
        <w:rPr>
          <w:snapToGrid w:val="0"/>
          <w:szCs w:val="24"/>
        </w:rPr>
      </w:pPr>
      <w:r w:rsidRPr="00365603">
        <w:rPr>
          <w:b/>
          <w:i/>
          <w:snapToGrid w:val="0"/>
          <w:kern w:val="1"/>
          <w:szCs w:val="24"/>
        </w:rPr>
        <w:t>(17)</w:t>
      </w:r>
      <w:r w:rsidRPr="00365603">
        <w:rPr>
          <w:b/>
          <w:i/>
          <w:snapToGrid w:val="0"/>
          <w:kern w:val="1"/>
          <w:szCs w:val="24"/>
        </w:rPr>
        <w:tab/>
        <w:t>Afin de faciliter la publication d'informations non financières par les entreprises de l’Union, la Commission devrait élaborer des lignes directrices non contraignantes, y compris des indicateurs clés généraux et sectoriels de performance de nature non financière. La Commission devrait tenir compte des meilleures pratiques actuelles, des évolutions internationales et des résultats des initiatives de l'Union en la matière. Elle devrait procéder à des consultations appropriées, y compris avec les parties concernées. Lorsqu'elle aborde les aspects environnementaux, elle devrait s'intéresser, pour le moins, à l'usage des terres et de l'eau, aux émissions de gaz à effet de serre ainsi qu'à l'utilisation des matières premières.</w:t>
      </w:r>
    </w:p>
    <w:p w:rsidR="002022AB" w:rsidRPr="00365603" w:rsidRDefault="002022AB" w:rsidP="00075179">
      <w:pPr>
        <w:spacing w:before="120" w:after="120" w:line="360" w:lineRule="auto"/>
        <w:ind w:left="851" w:hanging="851"/>
        <w:rPr>
          <w:snapToGrid w:val="0"/>
          <w:szCs w:val="24"/>
        </w:rPr>
      </w:pPr>
      <w:r w:rsidRPr="00365603">
        <w:rPr>
          <w:snapToGrid w:val="0"/>
          <w:kern w:val="1"/>
          <w:szCs w:val="24"/>
        </w:rPr>
        <w:br w:type="page"/>
        <w:t>(18)</w:t>
      </w:r>
      <w:r w:rsidRPr="00365603">
        <w:rPr>
          <w:snapToGrid w:val="0"/>
          <w:kern w:val="1"/>
          <w:szCs w:val="24"/>
        </w:rPr>
        <w:tab/>
        <w:t xml:space="preserve">La diversité des compétences et des points de vue des membres des organes d'administration, de gestion et de surveillance des </w:t>
      </w:r>
      <w:r w:rsidRPr="00365603">
        <w:rPr>
          <w:b/>
          <w:i/>
          <w:snapToGrid w:val="0"/>
          <w:kern w:val="1"/>
          <w:szCs w:val="24"/>
        </w:rPr>
        <w:t>entreprises</w:t>
      </w:r>
      <w:r w:rsidRPr="00365603">
        <w:rPr>
          <w:snapToGrid w:val="0"/>
          <w:kern w:val="1"/>
          <w:szCs w:val="24"/>
        </w:rPr>
        <w:t xml:space="preserve"> facilite une bonne compréhension de l'organisation des entreprises et des affaires de l’entreprise concernée. Elle permet aux membres de ces organes d'exercer une critique constructive des décisions de la direction et d'être plus ouverts aux idées innovantes, battant ainsi en brèche le phénomène de la "pensée de groupe", caractérisé par la similitude des points de vue. Elle contribue ainsi à une supervision efficace de la direction et à une bonne gouvernance de </w:t>
      </w:r>
      <w:r w:rsidRPr="00365603">
        <w:rPr>
          <w:b/>
          <w:i/>
          <w:snapToGrid w:val="0"/>
          <w:kern w:val="1"/>
          <w:szCs w:val="24"/>
        </w:rPr>
        <w:t>l'entreprise</w:t>
      </w:r>
      <w:r w:rsidRPr="00365603">
        <w:rPr>
          <w:snapToGrid w:val="0"/>
          <w:kern w:val="1"/>
          <w:szCs w:val="24"/>
        </w:rPr>
        <w:t xml:space="preserve">. Il est dès lors important de renforcer la transparence en ce qui concerne la politique de diversité appliquée▌. Le marché serait ainsi informé des pratiques en matière de gouvernance d'entreprise, ce qui inciterait indirectement les </w:t>
      </w:r>
      <w:r w:rsidRPr="00365603">
        <w:rPr>
          <w:b/>
          <w:i/>
          <w:snapToGrid w:val="0"/>
          <w:kern w:val="1"/>
          <w:szCs w:val="24"/>
        </w:rPr>
        <w:t>entreprises</w:t>
      </w:r>
      <w:r w:rsidRPr="00365603">
        <w:rPr>
          <w:snapToGrid w:val="0"/>
          <w:kern w:val="1"/>
          <w:szCs w:val="24"/>
        </w:rPr>
        <w:t xml:space="preserve"> à accroître la diversité au sein de leurs organes décisionnels.</w:t>
      </w:r>
    </w:p>
    <w:p w:rsidR="002022AB" w:rsidRPr="00365603" w:rsidRDefault="002022AB" w:rsidP="00075179">
      <w:pPr>
        <w:spacing w:before="120" w:after="120" w:line="360" w:lineRule="auto"/>
        <w:ind w:left="851" w:hanging="851"/>
        <w:rPr>
          <w:snapToGrid w:val="0"/>
          <w:szCs w:val="24"/>
        </w:rPr>
      </w:pPr>
      <w:r w:rsidRPr="00365603">
        <w:rPr>
          <w:snapToGrid w:val="0"/>
          <w:kern w:val="1"/>
          <w:szCs w:val="24"/>
        </w:rPr>
        <w:t>(19)</w:t>
      </w:r>
      <w:r w:rsidRPr="00365603">
        <w:rPr>
          <w:snapToGrid w:val="0"/>
          <w:kern w:val="1"/>
          <w:szCs w:val="24"/>
        </w:rPr>
        <w:tab/>
        <w:t xml:space="preserve">Seules </w:t>
      </w:r>
      <w:r w:rsidRPr="00365603">
        <w:rPr>
          <w:b/>
          <w:i/>
          <w:snapToGrid w:val="0"/>
          <w:kern w:val="1"/>
          <w:szCs w:val="24"/>
        </w:rPr>
        <w:t>certaines</w:t>
      </w:r>
      <w:r w:rsidRPr="00365603">
        <w:rPr>
          <w:snapToGrid w:val="0"/>
          <w:kern w:val="1"/>
          <w:szCs w:val="24"/>
        </w:rPr>
        <w:t xml:space="preserve"> grandes </w:t>
      </w:r>
      <w:r w:rsidRPr="00365603">
        <w:rPr>
          <w:b/>
          <w:i/>
          <w:snapToGrid w:val="0"/>
          <w:kern w:val="1"/>
          <w:szCs w:val="24"/>
        </w:rPr>
        <w:t>entreprises</w:t>
      </w:r>
      <w:r w:rsidRPr="00365603">
        <w:rPr>
          <w:snapToGrid w:val="0"/>
          <w:kern w:val="1"/>
          <w:szCs w:val="24"/>
        </w:rPr>
        <w:t xml:space="preserve"> ▌devraient être tenues de communiquer sur la politique de diversité qu'elles appliquent à leurs organes d'administration, de gestion et de surveillance au regard de critères tels que</w:t>
      </w:r>
      <w:r w:rsidRPr="00365603">
        <w:rPr>
          <w:b/>
          <w:i/>
          <w:snapToGrid w:val="0"/>
          <w:kern w:val="1"/>
          <w:szCs w:val="24"/>
        </w:rPr>
        <w:t>, par exemple,</w:t>
      </w:r>
      <w:r w:rsidRPr="00365603">
        <w:rPr>
          <w:snapToGrid w:val="0"/>
          <w:kern w:val="1"/>
          <w:szCs w:val="24"/>
        </w:rPr>
        <w:t xml:space="preserve"> l'âge, le genre, ▌les qualifications et l'expérience professionnelle. ▌Les informations publiées sur la politique de diversité devraient faire partie de la déclaration sur le gouvernement d'entreprise, telle que prévue par l'article </w:t>
      </w:r>
      <w:r w:rsidRPr="00365603">
        <w:rPr>
          <w:b/>
          <w:i/>
          <w:snapToGrid w:val="0"/>
          <w:kern w:val="1"/>
          <w:szCs w:val="24"/>
        </w:rPr>
        <w:t>20</w:t>
      </w:r>
      <w:r w:rsidRPr="00365603">
        <w:rPr>
          <w:snapToGrid w:val="0"/>
          <w:kern w:val="1"/>
          <w:szCs w:val="24"/>
        </w:rPr>
        <w:t xml:space="preserve"> de la directive </w:t>
      </w:r>
      <w:r w:rsidRPr="00365603">
        <w:rPr>
          <w:b/>
          <w:i/>
          <w:snapToGrid w:val="0"/>
          <w:kern w:val="1"/>
          <w:szCs w:val="24"/>
        </w:rPr>
        <w:t>2013/34/UE</w:t>
      </w:r>
      <w:r w:rsidRPr="00365603">
        <w:rPr>
          <w:snapToGrid w:val="0"/>
          <w:kern w:val="1"/>
          <w:szCs w:val="24"/>
        </w:rPr>
        <w:t xml:space="preserve">. </w:t>
      </w:r>
      <w:r w:rsidRPr="00365603">
        <w:rPr>
          <w:b/>
          <w:i/>
          <w:snapToGrid w:val="0"/>
          <w:kern w:val="1"/>
          <w:szCs w:val="24"/>
        </w:rPr>
        <w:t xml:space="preserve">Si aucune politique de diversité n'est appliquée, il ne saurait y avoir d'obligation </w:t>
      </w:r>
      <w:r w:rsidRPr="00365603">
        <w:rPr>
          <w:snapToGrid w:val="0"/>
          <w:kern w:val="1"/>
          <w:szCs w:val="24"/>
        </w:rPr>
        <w:t xml:space="preserve">d'en instaurer une, mais </w:t>
      </w:r>
      <w:r w:rsidRPr="00365603">
        <w:rPr>
          <w:b/>
          <w:i/>
          <w:snapToGrid w:val="0"/>
          <w:kern w:val="1"/>
          <w:szCs w:val="24"/>
        </w:rPr>
        <w:t xml:space="preserve">la déclaration sur le gouvernement d'entreprise devrait </w:t>
      </w:r>
      <w:r w:rsidRPr="00365603">
        <w:rPr>
          <w:snapToGrid w:val="0"/>
          <w:kern w:val="1"/>
          <w:szCs w:val="24"/>
        </w:rPr>
        <w:t>en expliquer clairement la raison.</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br w:type="page"/>
      </w:r>
      <w:r w:rsidRPr="00365603">
        <w:rPr>
          <w:b/>
          <w:i/>
          <w:snapToGrid w:val="0"/>
          <w:kern w:val="1"/>
          <w:szCs w:val="24"/>
        </w:rPr>
        <w:t>(20)</w:t>
      </w:r>
      <w:r w:rsidRPr="00365603">
        <w:rPr>
          <w:b/>
          <w:i/>
          <w:snapToGrid w:val="0"/>
          <w:kern w:val="1"/>
          <w:szCs w:val="24"/>
        </w:rPr>
        <w:tab/>
      </w:r>
      <w:r w:rsidRPr="00365603">
        <w:rPr>
          <w:b/>
          <w:i/>
          <w:snapToGrid w:val="0"/>
          <w:szCs w:val="24"/>
        </w:rPr>
        <w:t>Il a été pris acte des initiatives au niveau de l'Union, y compris de la publication d'informations pays par pays pour plusieurs secteurs, ainsi que des références faites par le Conseil européen, dans ses conclusions du 22 mai 2013 et du 20 décembre 2013, à la publication d'informations pays par pays par les grandes entreprises et les groupes , des dispositions similaires dans la directive 2013/36/UE du Parlement européen et du Conseil</w:t>
      </w:r>
      <w:r w:rsidRPr="00365603">
        <w:rPr>
          <w:b/>
          <w:i/>
          <w:snapToGrid w:val="0"/>
          <w:kern w:val="20"/>
          <w:szCs w:val="24"/>
          <w:vertAlign w:val="superscript"/>
        </w:rPr>
        <w:footnoteReference w:id="88"/>
      </w:r>
      <w:r w:rsidRPr="00365603">
        <w:rPr>
          <w:b/>
          <w:i/>
          <w:snapToGrid w:val="0"/>
          <w:szCs w:val="24"/>
        </w:rPr>
        <w:t>, et des efforts internationaux déployés pour améliorer la transparence dans la publication d'informations financières. Dans le cadre du G8 et du G20, l'OCDE a été priée d'élaborer un modèle normalisé de publication d'informations à l'intention des entreprises multinationales leur permettant de déclarer aux autorités fiscales l'endroit où elles réalisent leurs bénéfices et payent leurs impôts dans le monde entier. Des évolutions de ce type complètent les propositions contenues dans la présente directive, et constituent des mesures appropriées, eu égard à leurs objectifs respectifs.</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br w:type="page"/>
        <w:t>(21)</w:t>
      </w:r>
      <w:r w:rsidRPr="00365603">
        <w:rPr>
          <w:snapToGrid w:val="0"/>
          <w:kern w:val="1"/>
          <w:szCs w:val="24"/>
        </w:rPr>
        <w:tab/>
        <w:t xml:space="preserve">Étant donné que l'objectif de la présente directive, à savoir améliorer la pertinence, la cohérence et la comparabilité des informations publiées par certaines grandes </w:t>
      </w:r>
      <w:r w:rsidRPr="00365603">
        <w:rPr>
          <w:b/>
          <w:i/>
          <w:snapToGrid w:val="0"/>
          <w:kern w:val="1"/>
          <w:szCs w:val="24"/>
        </w:rPr>
        <w:t>entreprises</w:t>
      </w:r>
      <w:r w:rsidRPr="00365603">
        <w:rPr>
          <w:snapToGrid w:val="0"/>
          <w:kern w:val="1"/>
          <w:szCs w:val="24"/>
        </w:rPr>
        <w:t xml:space="preserve"> et certains groupes dans l'ensemble de l'Union, ne peut pas être réalisé de manière suffisante par les États membres </w:t>
      </w:r>
      <w:r w:rsidRPr="00365603">
        <w:rPr>
          <w:b/>
          <w:i/>
          <w:snapToGrid w:val="0"/>
          <w:kern w:val="1"/>
          <w:szCs w:val="24"/>
        </w:rPr>
        <w:t>mais</w:t>
      </w:r>
      <w:r w:rsidRPr="00365603">
        <w:rPr>
          <w:snapToGrid w:val="0"/>
          <w:kern w:val="1"/>
          <w:szCs w:val="24"/>
        </w:rPr>
        <w:t xml:space="preserve"> peut▌, en raison de ses effets, l’être mieux au niveau de l'Union, celle-ci peut adopter des mesures conformément au principe de subsidiarité consacré à l'article 5 du traité sur l'Union européenne. Conformément au principe de proportionnalité, tel qu'énoncé audit article, la présente directive n'excède pas ce qui est nécessaire pour atteindre </w:t>
      </w:r>
      <w:r w:rsidRPr="00365603">
        <w:rPr>
          <w:b/>
          <w:i/>
          <w:snapToGrid w:val="0"/>
          <w:kern w:val="1"/>
          <w:szCs w:val="24"/>
        </w:rPr>
        <w:t>cet</w:t>
      </w:r>
      <w:r w:rsidRPr="00365603">
        <w:rPr>
          <w:snapToGrid w:val="0"/>
          <w:kern w:val="1"/>
          <w:szCs w:val="24"/>
        </w:rPr>
        <w:t xml:space="preserve"> objectif▌.</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(22)</w:t>
      </w:r>
      <w:r w:rsidRPr="00365603">
        <w:rPr>
          <w:snapToGrid w:val="0"/>
          <w:kern w:val="1"/>
          <w:szCs w:val="24"/>
        </w:rPr>
        <w:tab/>
        <w:t>La présente directive respecte les droits fondamentaux et observe les principes reconnus en particulier par la charte des droits fondamentaux de l'Union européenne, y compris la liberté d'entreprise, le respect de la vie privée et la protection des données à caractère personnel. La présente directive doit être mise en œuvre conformément à ces droits et principes.</w:t>
      </w:r>
    </w:p>
    <w:p w:rsidR="002022AB" w:rsidRPr="00365603" w:rsidRDefault="002022AB" w:rsidP="00075179">
      <w:pPr>
        <w:spacing w:before="120" w:after="120" w:line="360" w:lineRule="auto"/>
        <w:rPr>
          <w:snapToGrid w:val="0"/>
          <w:kern w:val="1"/>
          <w:szCs w:val="24"/>
        </w:rPr>
      </w:pPr>
      <w:r w:rsidRPr="00365603">
        <w:rPr>
          <w:snapToGrid w:val="0"/>
          <w:kern w:val="1"/>
          <w:szCs w:val="24"/>
        </w:rPr>
        <w:t>(23)</w:t>
      </w:r>
      <w:r w:rsidRPr="00365603">
        <w:rPr>
          <w:snapToGrid w:val="0"/>
          <w:kern w:val="1"/>
          <w:szCs w:val="24"/>
        </w:rPr>
        <w:tab/>
        <w:t xml:space="preserve">Il y a donc lieu de modifier </w:t>
      </w:r>
      <w:r w:rsidRPr="00365603">
        <w:rPr>
          <w:b/>
          <w:i/>
          <w:snapToGrid w:val="0"/>
          <w:kern w:val="1"/>
          <w:szCs w:val="24"/>
        </w:rPr>
        <w:t>la directive 2013/34/UE</w:t>
      </w:r>
      <w:r w:rsidRPr="00365603">
        <w:rPr>
          <w:snapToGrid w:val="0"/>
          <w:kern w:val="1"/>
          <w:szCs w:val="24"/>
        </w:rPr>
        <w:t xml:space="preserve"> en conséquence,</w:t>
      </w:r>
    </w:p>
    <w:p w:rsidR="002022AB" w:rsidRPr="00365603" w:rsidRDefault="002022AB" w:rsidP="00075179">
      <w:pPr>
        <w:spacing w:before="120" w:after="120" w:line="360" w:lineRule="auto"/>
        <w:rPr>
          <w:snapToGrid w:val="0"/>
          <w:kern w:val="1"/>
          <w:szCs w:val="24"/>
        </w:rPr>
      </w:pPr>
      <w:r w:rsidRPr="00365603">
        <w:rPr>
          <w:snapToGrid w:val="0"/>
          <w:kern w:val="1"/>
          <w:szCs w:val="24"/>
        </w:rPr>
        <w:t>ONT ADOPTÉ LA PRÉSENTE DIRECTIVE:</w:t>
      </w:r>
    </w:p>
    <w:p w:rsidR="002022AB" w:rsidRPr="00365603" w:rsidRDefault="002022AB" w:rsidP="00075179">
      <w:pPr>
        <w:spacing w:before="120" w:after="120" w:line="360" w:lineRule="auto"/>
        <w:jc w:val="center"/>
        <w:rPr>
          <w:b/>
          <w:i/>
          <w:snapToGrid w:val="0"/>
          <w:kern w:val="1"/>
          <w:szCs w:val="24"/>
        </w:rPr>
      </w:pPr>
      <w:r w:rsidRPr="00365603">
        <w:rPr>
          <w:i/>
          <w:snapToGrid w:val="0"/>
          <w:kern w:val="1"/>
          <w:szCs w:val="24"/>
        </w:rPr>
        <w:br w:type="page"/>
      </w:r>
      <w:r w:rsidRPr="00365603">
        <w:rPr>
          <w:snapToGrid w:val="0"/>
          <w:kern w:val="1"/>
          <w:szCs w:val="24"/>
        </w:rPr>
        <w:t>Article premier</w:t>
      </w:r>
      <w:r w:rsidRPr="00365603">
        <w:rPr>
          <w:snapToGrid w:val="0"/>
          <w:kern w:val="1"/>
          <w:szCs w:val="24"/>
        </w:rPr>
        <w:br/>
        <w:t>Modifications de la directive</w:t>
      </w:r>
      <w:r w:rsidRPr="00365603">
        <w:rPr>
          <w:i/>
          <w:snapToGrid w:val="0"/>
          <w:kern w:val="1"/>
          <w:szCs w:val="24"/>
        </w:rPr>
        <w:t> </w:t>
      </w:r>
      <w:r w:rsidRPr="00365603">
        <w:rPr>
          <w:b/>
          <w:i/>
          <w:snapToGrid w:val="0"/>
          <w:kern w:val="1"/>
          <w:szCs w:val="24"/>
        </w:rPr>
        <w:t>2013/34/UE</w:t>
      </w:r>
    </w:p>
    <w:p w:rsidR="002022AB" w:rsidRPr="00365603" w:rsidRDefault="002022AB" w:rsidP="00075179">
      <w:pPr>
        <w:spacing w:before="120" w:after="120" w:line="360" w:lineRule="auto"/>
        <w:rPr>
          <w:snapToGrid w:val="0"/>
          <w:kern w:val="1"/>
          <w:szCs w:val="24"/>
        </w:rPr>
      </w:pPr>
      <w:r w:rsidRPr="00365603">
        <w:rPr>
          <w:snapToGrid w:val="0"/>
          <w:kern w:val="1"/>
          <w:szCs w:val="24"/>
        </w:rPr>
        <w:t>La directive </w:t>
      </w:r>
      <w:r w:rsidRPr="00365603">
        <w:rPr>
          <w:b/>
          <w:i/>
          <w:snapToGrid w:val="0"/>
          <w:kern w:val="1"/>
          <w:szCs w:val="24"/>
        </w:rPr>
        <w:t>2013/34/UE</w:t>
      </w:r>
      <w:r w:rsidRPr="00365603">
        <w:rPr>
          <w:snapToGrid w:val="0"/>
          <w:kern w:val="1"/>
          <w:szCs w:val="24"/>
        </w:rPr>
        <w:t xml:space="preserve"> est modifiée comme suit:</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1)</w:t>
      </w:r>
      <w:r w:rsidRPr="00365603">
        <w:rPr>
          <w:snapToGrid w:val="0"/>
          <w:kern w:val="1"/>
          <w:szCs w:val="24"/>
        </w:rPr>
        <w:tab/>
        <w:t xml:space="preserve">L'article </w:t>
      </w:r>
      <w:r w:rsidRPr="00365603">
        <w:rPr>
          <w:b/>
          <w:i/>
          <w:snapToGrid w:val="0"/>
          <w:kern w:val="1"/>
          <w:szCs w:val="24"/>
        </w:rPr>
        <w:t>suivant</w:t>
      </w:r>
      <w:r w:rsidRPr="00365603">
        <w:rPr>
          <w:snapToGrid w:val="0"/>
          <w:kern w:val="1"/>
          <w:szCs w:val="24"/>
        </w:rPr>
        <w:t xml:space="preserve"> est </w:t>
      </w:r>
      <w:r w:rsidRPr="00365603">
        <w:rPr>
          <w:b/>
          <w:i/>
          <w:snapToGrid w:val="0"/>
          <w:kern w:val="1"/>
          <w:szCs w:val="24"/>
        </w:rPr>
        <w:t>ajouté</w:t>
      </w:r>
      <w:r w:rsidRPr="00365603">
        <w:rPr>
          <w:snapToGrid w:val="0"/>
          <w:kern w:val="1"/>
          <w:szCs w:val="24"/>
        </w:rPr>
        <w:t>:</w:t>
      </w:r>
    </w:p>
    <w:p w:rsidR="002022AB" w:rsidRPr="00365603" w:rsidRDefault="002022AB" w:rsidP="00075179">
      <w:pPr>
        <w:spacing w:before="120" w:after="120" w:line="360" w:lineRule="auto"/>
        <w:ind w:left="851"/>
        <w:rPr>
          <w:snapToGrid w:val="0"/>
          <w:szCs w:val="24"/>
        </w:rPr>
      </w:pPr>
      <w:r w:rsidRPr="00365603">
        <w:rPr>
          <w:b/>
          <w:i/>
          <w:snapToGrid w:val="0"/>
          <w:kern w:val="1"/>
          <w:szCs w:val="24"/>
        </w:rPr>
        <w:t>"Article 19 bis</w:t>
      </w:r>
      <w:r w:rsidRPr="00365603">
        <w:rPr>
          <w:i/>
          <w:snapToGrid w:val="0"/>
          <w:kern w:val="1"/>
          <w:szCs w:val="24"/>
          <w:u w:val="single"/>
        </w:rPr>
        <w:br/>
      </w:r>
      <w:r w:rsidRPr="00365603">
        <w:rPr>
          <w:b/>
          <w:i/>
          <w:snapToGrid w:val="0"/>
          <w:kern w:val="1"/>
          <w:szCs w:val="24"/>
        </w:rPr>
        <w:t>Déclaration non financière</w:t>
      </w:r>
    </w:p>
    <w:p w:rsidR="002022AB" w:rsidRPr="00365603" w:rsidRDefault="002022AB" w:rsidP="00075179">
      <w:pPr>
        <w:spacing w:before="120" w:after="120" w:line="360" w:lineRule="auto"/>
        <w:ind w:left="1418" w:hanging="567"/>
        <w:rPr>
          <w:snapToGrid w:val="0"/>
          <w:kern w:val="1"/>
          <w:szCs w:val="24"/>
        </w:rPr>
      </w:pPr>
      <w:r w:rsidRPr="00365603">
        <w:rPr>
          <w:snapToGrid w:val="0"/>
          <w:kern w:val="1"/>
          <w:szCs w:val="24"/>
        </w:rPr>
        <w:t>1.</w:t>
      </w:r>
      <w:r w:rsidRPr="00365603">
        <w:rPr>
          <w:snapToGrid w:val="0"/>
          <w:kern w:val="1"/>
          <w:szCs w:val="24"/>
        </w:rPr>
        <w:tab/>
      </w:r>
      <w:r w:rsidRPr="00365603">
        <w:rPr>
          <w:b/>
          <w:i/>
          <w:snapToGrid w:val="0"/>
          <w:kern w:val="1"/>
          <w:szCs w:val="24"/>
        </w:rPr>
        <w:t>Les grandes entreprises qui sont des entités d'intérêt public dépassant, à la date de clôture de leur bilan, le critère du nombre moyen</w:t>
      </w:r>
      <w:r w:rsidRPr="00365603">
        <w:rPr>
          <w:snapToGrid w:val="0"/>
          <w:kern w:val="1"/>
          <w:szCs w:val="24"/>
        </w:rPr>
        <w:t xml:space="preserve"> de 500 salariés sur l'exercice, </w:t>
      </w:r>
      <w:r w:rsidRPr="00365603">
        <w:rPr>
          <w:b/>
          <w:i/>
          <w:snapToGrid w:val="0"/>
          <w:kern w:val="1"/>
          <w:szCs w:val="24"/>
        </w:rPr>
        <w:t>incluent dans le rapport de gestion</w:t>
      </w:r>
      <w:r w:rsidRPr="00365603">
        <w:rPr>
          <w:snapToGrid w:val="0"/>
          <w:kern w:val="1"/>
          <w:szCs w:val="24"/>
        </w:rPr>
        <w:t xml:space="preserve"> une déclaration non financière comprenant des informations</w:t>
      </w:r>
      <w:r w:rsidRPr="00365603">
        <w:rPr>
          <w:b/>
          <w:i/>
          <w:snapToGrid w:val="0"/>
          <w:kern w:val="1"/>
          <w:szCs w:val="24"/>
        </w:rPr>
        <w:t xml:space="preserve">, dans la mesure nécessaire à la compréhension de l'évolution des affaires, des résultats et de la situation de l'entreprise ainsi que des retombées de ses activités, </w:t>
      </w:r>
      <w:r w:rsidRPr="00365603">
        <w:rPr>
          <w:snapToGrid w:val="0"/>
          <w:kern w:val="1"/>
          <w:szCs w:val="24"/>
        </w:rPr>
        <w:t xml:space="preserve">relatives </w:t>
      </w:r>
      <w:r w:rsidRPr="00365603">
        <w:rPr>
          <w:b/>
          <w:i/>
          <w:snapToGrid w:val="0"/>
          <w:kern w:val="1"/>
          <w:szCs w:val="24"/>
        </w:rPr>
        <w:t>à tout le moins</w:t>
      </w:r>
      <w:r w:rsidRPr="00365603">
        <w:rPr>
          <w:snapToGrid w:val="0"/>
          <w:kern w:val="1"/>
          <w:szCs w:val="24"/>
        </w:rPr>
        <w:t xml:space="preserve"> aux questions environnementales, sociales</w:t>
      </w:r>
      <w:r w:rsidRPr="00365603">
        <w:rPr>
          <w:b/>
          <w:i/>
          <w:snapToGrid w:val="0"/>
          <w:kern w:val="1"/>
          <w:szCs w:val="24"/>
        </w:rPr>
        <w:t xml:space="preserve">, </w:t>
      </w:r>
      <w:r w:rsidRPr="00365603">
        <w:rPr>
          <w:snapToGrid w:val="0"/>
          <w:kern w:val="1"/>
          <w:szCs w:val="24"/>
        </w:rPr>
        <w:t>de personnel, de respect des droits de l'homme et de lutte contre la corruption, notamment:</w:t>
      </w:r>
    </w:p>
    <w:p w:rsidR="002022AB" w:rsidRPr="00365603" w:rsidRDefault="002022AB" w:rsidP="00075179">
      <w:pPr>
        <w:spacing w:before="120" w:after="120" w:line="360" w:lineRule="auto"/>
        <w:ind w:left="1985" w:hanging="567"/>
        <w:rPr>
          <w:b/>
          <w:i/>
          <w:snapToGrid w:val="0"/>
          <w:szCs w:val="24"/>
        </w:rPr>
      </w:pPr>
      <w:r w:rsidRPr="00365603">
        <w:rPr>
          <w:snapToGrid w:val="0"/>
          <w:kern w:val="1"/>
          <w:szCs w:val="24"/>
        </w:rPr>
        <w:br w:type="page"/>
      </w:r>
      <w:r w:rsidRPr="00365603">
        <w:rPr>
          <w:b/>
          <w:i/>
          <w:snapToGrid w:val="0"/>
          <w:szCs w:val="24"/>
        </w:rPr>
        <w:t>a)</w:t>
      </w:r>
      <w:r w:rsidRPr="00365603">
        <w:rPr>
          <w:b/>
          <w:i/>
          <w:snapToGrid w:val="0"/>
          <w:szCs w:val="24"/>
        </w:rPr>
        <w:tab/>
        <w:t>une brève description du modèle commercial de l'entreprise;</w:t>
      </w:r>
    </w:p>
    <w:p w:rsidR="002022AB" w:rsidRPr="00365603" w:rsidRDefault="002022AB" w:rsidP="00075179">
      <w:pPr>
        <w:spacing w:before="120" w:after="120" w:line="360" w:lineRule="auto"/>
        <w:ind w:left="1985" w:hanging="567"/>
        <w:rPr>
          <w:i/>
          <w:snapToGrid w:val="0"/>
          <w:kern w:val="1"/>
          <w:szCs w:val="24"/>
        </w:rPr>
      </w:pPr>
      <w:r w:rsidRPr="00365603">
        <w:rPr>
          <w:b/>
          <w:i/>
          <w:snapToGrid w:val="0"/>
          <w:kern w:val="1"/>
          <w:szCs w:val="24"/>
        </w:rPr>
        <w:t>b)</w:t>
      </w:r>
      <w:r w:rsidRPr="00365603">
        <w:rPr>
          <w:i/>
          <w:snapToGrid w:val="0"/>
          <w:kern w:val="1"/>
          <w:szCs w:val="24"/>
        </w:rPr>
        <w:tab/>
      </w:r>
      <w:r w:rsidRPr="00365603">
        <w:rPr>
          <w:snapToGrid w:val="0"/>
          <w:kern w:val="1"/>
          <w:szCs w:val="24"/>
        </w:rPr>
        <w:t xml:space="preserve">une description de la politique appliquée par </w:t>
      </w:r>
      <w:r w:rsidRPr="00365603">
        <w:rPr>
          <w:b/>
          <w:i/>
          <w:snapToGrid w:val="0"/>
          <w:kern w:val="1"/>
          <w:szCs w:val="24"/>
        </w:rPr>
        <w:t>l'entreprise</w:t>
      </w:r>
      <w:r w:rsidRPr="00365603">
        <w:rPr>
          <w:snapToGrid w:val="0"/>
          <w:kern w:val="1"/>
          <w:szCs w:val="24"/>
        </w:rPr>
        <w:t xml:space="preserve"> en ce qui concerne ces questions</w:t>
      </w:r>
      <w:r w:rsidRPr="00365603">
        <w:rPr>
          <w:b/>
          <w:i/>
          <w:snapToGrid w:val="0"/>
          <w:kern w:val="1"/>
          <w:szCs w:val="24"/>
        </w:rPr>
        <w:t>, y compris pour ce qui est des procédures de diligence raisonnable mises en œuvre</w:t>
      </w:r>
      <w:r w:rsidRPr="00365603">
        <w:rPr>
          <w:snapToGrid w:val="0"/>
          <w:kern w:val="1"/>
          <w:szCs w:val="24"/>
        </w:rPr>
        <w:t>;</w:t>
      </w:r>
    </w:p>
    <w:p w:rsidR="002022AB" w:rsidRPr="00365603" w:rsidRDefault="002022AB" w:rsidP="00075179">
      <w:pPr>
        <w:spacing w:before="120" w:after="120" w:line="360" w:lineRule="auto"/>
        <w:ind w:left="1985" w:hanging="567"/>
        <w:rPr>
          <w:i/>
          <w:snapToGrid w:val="0"/>
          <w:kern w:val="1"/>
          <w:szCs w:val="24"/>
        </w:rPr>
      </w:pPr>
      <w:r w:rsidRPr="00365603">
        <w:rPr>
          <w:b/>
          <w:i/>
          <w:snapToGrid w:val="0"/>
          <w:kern w:val="1"/>
          <w:szCs w:val="24"/>
        </w:rPr>
        <w:t>c)</w:t>
      </w:r>
      <w:r w:rsidRPr="00365603">
        <w:rPr>
          <w:i/>
          <w:snapToGrid w:val="0"/>
          <w:kern w:val="1"/>
          <w:szCs w:val="24"/>
        </w:rPr>
        <w:tab/>
      </w:r>
      <w:r w:rsidRPr="00365603">
        <w:rPr>
          <w:snapToGrid w:val="0"/>
          <w:kern w:val="1"/>
          <w:szCs w:val="24"/>
        </w:rPr>
        <w:t>les résultats de ces politiques;</w:t>
      </w:r>
    </w:p>
    <w:p w:rsidR="002022AB" w:rsidRPr="00365603" w:rsidRDefault="002022AB" w:rsidP="00075179">
      <w:pPr>
        <w:spacing w:before="120" w:after="120" w:line="360" w:lineRule="auto"/>
        <w:ind w:left="1985" w:hanging="567"/>
        <w:rPr>
          <w:i/>
          <w:snapToGrid w:val="0"/>
          <w:kern w:val="1"/>
          <w:szCs w:val="24"/>
        </w:rPr>
      </w:pPr>
      <w:r w:rsidRPr="00365603">
        <w:rPr>
          <w:b/>
          <w:i/>
          <w:snapToGrid w:val="0"/>
          <w:kern w:val="1"/>
          <w:szCs w:val="24"/>
        </w:rPr>
        <w:t>d)</w:t>
      </w:r>
      <w:r w:rsidRPr="00365603">
        <w:rPr>
          <w:i/>
          <w:snapToGrid w:val="0"/>
          <w:kern w:val="1"/>
          <w:szCs w:val="24"/>
        </w:rPr>
        <w:tab/>
      </w:r>
      <w:r w:rsidRPr="00365603">
        <w:rPr>
          <w:snapToGrid w:val="0"/>
          <w:kern w:val="1"/>
          <w:szCs w:val="24"/>
        </w:rPr>
        <w:t xml:space="preserve">les </w:t>
      </w:r>
      <w:r w:rsidRPr="00365603">
        <w:rPr>
          <w:b/>
          <w:i/>
          <w:snapToGrid w:val="0"/>
          <w:kern w:val="1"/>
          <w:szCs w:val="24"/>
        </w:rPr>
        <w:t>principaux</w:t>
      </w:r>
      <w:r w:rsidRPr="00365603">
        <w:rPr>
          <w:snapToGrid w:val="0"/>
          <w:kern w:val="1"/>
          <w:szCs w:val="24"/>
        </w:rPr>
        <w:t xml:space="preserve"> risques liés à ces questions </w:t>
      </w:r>
      <w:r w:rsidRPr="00365603">
        <w:rPr>
          <w:b/>
          <w:i/>
          <w:snapToGrid w:val="0"/>
          <w:kern w:val="1"/>
          <w:szCs w:val="24"/>
        </w:rPr>
        <w:t>en rapport avec les opérations de l'entreprise, y compris, lorsque cela s'avère nécessaire et proportionné, les relations d'affaires, les produits ou les services de l'entreprise, qui sont susceptibles d'entraîner des incidences négatives dans ces domaines,</w:t>
      </w:r>
      <w:r w:rsidRPr="00365603">
        <w:rPr>
          <w:snapToGrid w:val="0"/>
          <w:kern w:val="1"/>
          <w:szCs w:val="24"/>
        </w:rPr>
        <w:t xml:space="preserve"> et la manière dont </w:t>
      </w:r>
      <w:r w:rsidRPr="00365603">
        <w:rPr>
          <w:b/>
          <w:i/>
          <w:snapToGrid w:val="0"/>
          <w:kern w:val="1"/>
          <w:szCs w:val="24"/>
        </w:rPr>
        <w:t>l'entreprise</w:t>
      </w:r>
      <w:r w:rsidRPr="00365603">
        <w:rPr>
          <w:snapToGrid w:val="0"/>
          <w:kern w:val="1"/>
          <w:szCs w:val="24"/>
        </w:rPr>
        <w:t xml:space="preserve"> gère ces risques</w:t>
      </w:r>
      <w:r w:rsidRPr="00365603">
        <w:rPr>
          <w:b/>
          <w:i/>
          <w:snapToGrid w:val="0"/>
          <w:kern w:val="1"/>
          <w:szCs w:val="24"/>
        </w:rPr>
        <w:t>;</w:t>
      </w:r>
    </w:p>
    <w:p w:rsidR="002022AB" w:rsidRPr="00365603" w:rsidRDefault="002022AB" w:rsidP="00075179">
      <w:pPr>
        <w:spacing w:before="120" w:after="120" w:line="360" w:lineRule="auto"/>
        <w:ind w:left="1985" w:hanging="567"/>
        <w:rPr>
          <w:i/>
          <w:snapToGrid w:val="0"/>
          <w:kern w:val="1"/>
          <w:szCs w:val="24"/>
        </w:rPr>
      </w:pPr>
      <w:r w:rsidRPr="00365603">
        <w:rPr>
          <w:b/>
          <w:i/>
          <w:snapToGrid w:val="0"/>
          <w:kern w:val="1"/>
          <w:szCs w:val="24"/>
        </w:rPr>
        <w:t>e)</w:t>
      </w:r>
      <w:r w:rsidRPr="00365603">
        <w:rPr>
          <w:i/>
          <w:snapToGrid w:val="0"/>
          <w:kern w:val="1"/>
          <w:szCs w:val="24"/>
        </w:rPr>
        <w:tab/>
      </w:r>
      <w:r w:rsidRPr="00365603">
        <w:rPr>
          <w:b/>
          <w:i/>
          <w:snapToGrid w:val="0"/>
          <w:szCs w:val="24"/>
        </w:rPr>
        <w:t>les indicateurs clés de performance de nature non financière applicables aux activités en question.</w:t>
      </w:r>
    </w:p>
    <w:p w:rsidR="002022AB" w:rsidRPr="00365603" w:rsidRDefault="002022AB" w:rsidP="00075179">
      <w:pPr>
        <w:spacing w:before="120" w:after="120" w:line="360" w:lineRule="auto"/>
        <w:ind w:left="851"/>
        <w:rPr>
          <w:snapToGrid w:val="0"/>
          <w:kern w:val="1"/>
          <w:szCs w:val="24"/>
        </w:rPr>
      </w:pPr>
      <w:r w:rsidRPr="00365603">
        <w:rPr>
          <w:snapToGrid w:val="0"/>
          <w:kern w:val="1"/>
          <w:szCs w:val="24"/>
        </w:rPr>
        <w:t xml:space="preserve">Lorsqu'une </w:t>
      </w:r>
      <w:r w:rsidRPr="00365603">
        <w:rPr>
          <w:b/>
          <w:i/>
          <w:snapToGrid w:val="0"/>
          <w:kern w:val="1"/>
          <w:szCs w:val="24"/>
        </w:rPr>
        <w:t>entreprise</w:t>
      </w:r>
      <w:r w:rsidRPr="00365603">
        <w:rPr>
          <w:snapToGrid w:val="0"/>
          <w:kern w:val="1"/>
          <w:szCs w:val="24"/>
        </w:rPr>
        <w:t xml:space="preserve"> n'applique pas de politique en ce qui concerne l'une ou plusieurs de ces questions, </w:t>
      </w:r>
      <w:r w:rsidRPr="00365603">
        <w:rPr>
          <w:b/>
          <w:i/>
          <w:snapToGrid w:val="0"/>
          <w:kern w:val="1"/>
          <w:szCs w:val="24"/>
        </w:rPr>
        <w:t>la déclaration non financière</w:t>
      </w:r>
      <w:r w:rsidRPr="00365603">
        <w:rPr>
          <w:snapToGrid w:val="0"/>
          <w:kern w:val="1"/>
          <w:szCs w:val="24"/>
        </w:rPr>
        <w:t xml:space="preserve"> </w:t>
      </w:r>
      <w:r w:rsidRPr="00365603">
        <w:rPr>
          <w:b/>
          <w:i/>
          <w:snapToGrid w:val="0"/>
          <w:kern w:val="1"/>
          <w:szCs w:val="24"/>
        </w:rPr>
        <w:t>comprend</w:t>
      </w:r>
      <w:r w:rsidRPr="00365603">
        <w:rPr>
          <w:snapToGrid w:val="0"/>
          <w:kern w:val="1"/>
          <w:szCs w:val="24"/>
        </w:rPr>
        <w:t xml:space="preserve"> une explication </w:t>
      </w:r>
      <w:r w:rsidRPr="00365603">
        <w:rPr>
          <w:b/>
          <w:i/>
          <w:snapToGrid w:val="0"/>
          <w:kern w:val="1"/>
          <w:szCs w:val="24"/>
        </w:rPr>
        <w:t>claire et motivée</w:t>
      </w:r>
      <w:r w:rsidRPr="00365603">
        <w:rPr>
          <w:snapToGrid w:val="0"/>
          <w:kern w:val="1"/>
          <w:szCs w:val="24"/>
        </w:rPr>
        <w:t xml:space="preserve"> à ce sujet.</w:t>
      </w:r>
    </w:p>
    <w:p w:rsidR="002022AB" w:rsidRPr="00365603" w:rsidRDefault="002022AB" w:rsidP="00075179">
      <w:pPr>
        <w:spacing w:before="120" w:after="120" w:line="360" w:lineRule="auto"/>
        <w:ind w:left="851"/>
        <w:rPr>
          <w:snapToGrid w:val="0"/>
          <w:kern w:val="1"/>
          <w:szCs w:val="24"/>
        </w:rPr>
      </w:pPr>
      <w:r w:rsidRPr="00365603">
        <w:rPr>
          <w:snapToGrid w:val="0"/>
          <w:kern w:val="1"/>
          <w:szCs w:val="24"/>
        </w:rPr>
        <w:br w:type="page"/>
      </w:r>
      <w:r w:rsidRPr="00365603">
        <w:rPr>
          <w:b/>
          <w:i/>
          <w:snapToGrid w:val="0"/>
          <w:kern w:val="1"/>
          <w:szCs w:val="24"/>
          <w:shd w:val="clear" w:color="auto" w:fill="FFFFFF"/>
        </w:rPr>
        <w:t>La déclaration non financière visée au premier alinéa</w:t>
      </w:r>
      <w:r w:rsidRPr="00365603">
        <w:rPr>
          <w:snapToGrid w:val="0"/>
          <w:kern w:val="1"/>
          <w:szCs w:val="24"/>
          <w:shd w:val="clear" w:color="auto" w:fill="FFFFFF"/>
        </w:rPr>
        <w:t xml:space="preserve"> contient </w:t>
      </w:r>
      <w:r w:rsidRPr="00365603">
        <w:rPr>
          <w:b/>
          <w:i/>
          <w:snapToGrid w:val="0"/>
          <w:kern w:val="1"/>
          <w:szCs w:val="24"/>
          <w:shd w:val="clear" w:color="auto" w:fill="FFFFFF"/>
        </w:rPr>
        <w:t>également</w:t>
      </w:r>
      <w:r w:rsidRPr="00365603">
        <w:rPr>
          <w:snapToGrid w:val="0"/>
          <w:kern w:val="1"/>
          <w:szCs w:val="24"/>
          <w:shd w:val="clear" w:color="auto" w:fill="FFFFFF"/>
        </w:rPr>
        <w:t xml:space="preserve">, le cas échéant, des renvois aux montants indiqués dans les </w:t>
      </w:r>
      <w:r w:rsidRPr="00365603">
        <w:rPr>
          <w:b/>
          <w:i/>
          <w:snapToGrid w:val="0"/>
          <w:kern w:val="1"/>
          <w:szCs w:val="24"/>
          <w:shd w:val="clear" w:color="auto" w:fill="FFFFFF"/>
        </w:rPr>
        <w:t>états financiers</w:t>
      </w:r>
      <w:r w:rsidRPr="00365603">
        <w:rPr>
          <w:snapToGrid w:val="0"/>
          <w:kern w:val="1"/>
          <w:szCs w:val="24"/>
          <w:shd w:val="clear" w:color="auto" w:fill="FFFFFF"/>
        </w:rPr>
        <w:t xml:space="preserve"> annuels et des explications supplémentaires y afférentes.</w:t>
      </w:r>
    </w:p>
    <w:p w:rsidR="002022AB" w:rsidRPr="00365603" w:rsidRDefault="002022AB" w:rsidP="00075179">
      <w:pPr>
        <w:spacing w:before="120" w:after="120" w:line="360" w:lineRule="auto"/>
        <w:ind w:left="851"/>
        <w:rPr>
          <w:b/>
          <w:i/>
          <w:snapToGrid w:val="0"/>
          <w:kern w:val="1"/>
          <w:szCs w:val="24"/>
          <w:shd w:val="clear" w:color="auto" w:fill="C0C0C0"/>
        </w:rPr>
      </w:pPr>
      <w:r w:rsidRPr="00365603">
        <w:rPr>
          <w:b/>
          <w:i/>
          <w:snapToGrid w:val="0"/>
          <w:szCs w:val="24"/>
        </w:rPr>
        <w:t>Les États membres peuvent autoriser que des informations portant sur les évolutions prochaines ou les affaires en cours de négociation ne soient pas communiquées dans des cas exceptionnels où, de l'avis dûment motivé des membres des organes d'administration, de direction et de surveillance, agissant dans le cadre des compétences qui leur sont dévolues en vertu du droit national, et au titre de leur responsabilité collective quant à cette opinion, la divulgation desdites informations nuirait gravement à la position commerciale de l'entreprise, à conditions que cette omission ne fasse pas obstacle à une compréhension juste et équilibrée de l'évolution des affaires, des résultats ou de la situation de l'entreprise, ainsi que des retombées de son activité.</w:t>
      </w:r>
    </w:p>
    <w:p w:rsidR="002022AB" w:rsidRPr="00365603" w:rsidRDefault="002022AB" w:rsidP="00075179">
      <w:pPr>
        <w:spacing w:before="120" w:after="120" w:line="360" w:lineRule="auto"/>
        <w:ind w:left="851"/>
        <w:rPr>
          <w:snapToGrid w:val="0"/>
          <w:kern w:val="1"/>
          <w:szCs w:val="24"/>
        </w:rPr>
      </w:pPr>
      <w:r w:rsidRPr="00365603">
        <w:rPr>
          <w:b/>
          <w:snapToGrid w:val="0"/>
          <w:kern w:val="1"/>
          <w:szCs w:val="24"/>
          <w:u w:val="single"/>
          <w:shd w:val="clear" w:color="auto" w:fill="FFFFFF"/>
        </w:rPr>
        <w:br w:type="page"/>
      </w:r>
      <w:r w:rsidRPr="00365603">
        <w:rPr>
          <w:b/>
          <w:i/>
          <w:snapToGrid w:val="0"/>
          <w:kern w:val="1"/>
          <w:szCs w:val="24"/>
          <w:shd w:val="clear" w:color="auto" w:fill="FFFFFF"/>
        </w:rPr>
        <w:t>Lorsque les États membres exigent la communication des</w:t>
      </w:r>
      <w:r w:rsidRPr="00365603">
        <w:rPr>
          <w:b/>
          <w:snapToGrid w:val="0"/>
          <w:kern w:val="1"/>
          <w:szCs w:val="24"/>
          <w:u w:val="single"/>
          <w:shd w:val="clear" w:color="auto" w:fill="FFFFFF"/>
        </w:rPr>
        <w:t xml:space="preserve"> </w:t>
      </w:r>
      <w:r w:rsidRPr="00365603">
        <w:rPr>
          <w:snapToGrid w:val="0"/>
          <w:kern w:val="1"/>
          <w:szCs w:val="24"/>
        </w:rPr>
        <w:t>informations visées</w:t>
      </w:r>
      <w:r w:rsidRPr="00365603">
        <w:rPr>
          <w:b/>
          <w:i/>
          <w:snapToGrid w:val="0"/>
          <w:kern w:val="1"/>
          <w:szCs w:val="24"/>
        </w:rPr>
        <w:t xml:space="preserve"> au premier alinéa</w:t>
      </w:r>
      <w:r w:rsidRPr="00365603">
        <w:rPr>
          <w:snapToGrid w:val="0"/>
          <w:kern w:val="1"/>
          <w:szCs w:val="24"/>
        </w:rPr>
        <w:t xml:space="preserve">, </w:t>
      </w:r>
      <w:r w:rsidRPr="00365603">
        <w:rPr>
          <w:b/>
          <w:i/>
          <w:snapToGrid w:val="0"/>
          <w:kern w:val="1"/>
          <w:szCs w:val="24"/>
        </w:rPr>
        <w:t xml:space="preserve">ils prévoient que les entreprises peuvent </w:t>
      </w:r>
      <w:r w:rsidRPr="00365603">
        <w:rPr>
          <w:snapToGrid w:val="0"/>
          <w:kern w:val="1"/>
          <w:szCs w:val="24"/>
        </w:rPr>
        <w:t>s'appuyer sur des cadres nationaux, de l'Union ou internationaux et les entreprises</w:t>
      </w:r>
      <w:r w:rsidRPr="00365603">
        <w:rPr>
          <w:b/>
          <w:i/>
          <w:snapToGrid w:val="0"/>
          <w:kern w:val="1"/>
          <w:szCs w:val="24"/>
        </w:rPr>
        <w:t xml:space="preserve"> indiquent</w:t>
      </w:r>
      <w:r w:rsidRPr="00365603">
        <w:rPr>
          <w:snapToGrid w:val="0"/>
          <w:kern w:val="1"/>
          <w:szCs w:val="24"/>
        </w:rPr>
        <w:t xml:space="preserve">, le cas échéant, sur quels cadres </w:t>
      </w:r>
      <w:r w:rsidRPr="00365603">
        <w:rPr>
          <w:b/>
          <w:i/>
          <w:snapToGrid w:val="0"/>
          <w:kern w:val="1"/>
          <w:szCs w:val="24"/>
        </w:rPr>
        <w:t>elles se sont appuyées</w:t>
      </w:r>
      <w:r w:rsidRPr="00365603">
        <w:rPr>
          <w:snapToGrid w:val="0"/>
          <w:kern w:val="1"/>
          <w:szCs w:val="24"/>
        </w:rPr>
        <w:t>.</w:t>
      </w:r>
    </w:p>
    <w:p w:rsidR="002022AB" w:rsidRPr="00365603" w:rsidRDefault="002022AB" w:rsidP="00075179">
      <w:pPr>
        <w:spacing w:before="120" w:after="120" w:line="360" w:lineRule="auto"/>
        <w:ind w:left="851"/>
        <w:rPr>
          <w:snapToGrid w:val="0"/>
          <w:szCs w:val="24"/>
        </w:rPr>
      </w:pPr>
      <w:r w:rsidRPr="00365603">
        <w:rPr>
          <w:snapToGrid w:val="0"/>
          <w:kern w:val="1"/>
          <w:szCs w:val="24"/>
          <w:shd w:val="clear" w:color="auto" w:fill="FFFFFF"/>
        </w:rPr>
        <w:t>▌</w:t>
      </w:r>
    </w:p>
    <w:p w:rsidR="002022AB" w:rsidRPr="00365603" w:rsidRDefault="002022AB" w:rsidP="00075179">
      <w:pPr>
        <w:spacing w:before="120" w:after="120" w:line="360" w:lineRule="auto"/>
        <w:ind w:left="1418" w:hanging="567"/>
        <w:rPr>
          <w:i/>
          <w:snapToGrid w:val="0"/>
          <w:kern w:val="1"/>
          <w:szCs w:val="24"/>
        </w:rPr>
      </w:pPr>
      <w:r w:rsidRPr="00365603">
        <w:rPr>
          <w:b/>
          <w:i/>
          <w:snapToGrid w:val="0"/>
          <w:kern w:val="1"/>
          <w:szCs w:val="24"/>
        </w:rPr>
        <w:t>2.</w:t>
      </w:r>
      <w:r w:rsidRPr="00365603">
        <w:rPr>
          <w:b/>
          <w:i/>
          <w:snapToGrid w:val="0"/>
          <w:kern w:val="1"/>
          <w:szCs w:val="24"/>
        </w:rPr>
        <w:tab/>
        <w:t>Les entreprises qui s'acquittent de l'obligation énoncée au paragraphe 1 sont réputées avoir satisfait à l'obligation relative à l'analyse des informations non financières figurant à l'article 19, paragraphe 1, troisième alinéa.</w:t>
      </w:r>
    </w:p>
    <w:p w:rsidR="002022AB" w:rsidRPr="00365603" w:rsidRDefault="002022AB" w:rsidP="00075179">
      <w:pPr>
        <w:spacing w:before="120" w:after="120" w:line="360" w:lineRule="auto"/>
        <w:ind w:left="1418" w:hanging="567"/>
        <w:rPr>
          <w:snapToGrid w:val="0"/>
          <w:kern w:val="1"/>
          <w:szCs w:val="24"/>
        </w:rPr>
      </w:pPr>
      <w:r w:rsidRPr="00365603">
        <w:rPr>
          <w:b/>
          <w:i/>
          <w:snapToGrid w:val="0"/>
          <w:kern w:val="1"/>
          <w:szCs w:val="24"/>
        </w:rPr>
        <w:t>3</w:t>
      </w:r>
      <w:r w:rsidRPr="00365603">
        <w:rPr>
          <w:snapToGrid w:val="0"/>
          <w:kern w:val="1"/>
          <w:szCs w:val="24"/>
        </w:rPr>
        <w:t>.</w:t>
      </w:r>
      <w:r w:rsidRPr="00365603">
        <w:rPr>
          <w:snapToGrid w:val="0"/>
          <w:kern w:val="1"/>
          <w:szCs w:val="24"/>
        </w:rPr>
        <w:tab/>
        <w:t xml:space="preserve">Une </w:t>
      </w:r>
      <w:r w:rsidRPr="00365603">
        <w:rPr>
          <w:b/>
          <w:i/>
          <w:snapToGrid w:val="0"/>
          <w:kern w:val="1"/>
          <w:szCs w:val="24"/>
        </w:rPr>
        <w:t xml:space="preserve">entreprise </w:t>
      </w:r>
      <w:r w:rsidRPr="00365603">
        <w:rPr>
          <w:snapToGrid w:val="0"/>
          <w:kern w:val="1"/>
          <w:szCs w:val="24"/>
        </w:rPr>
        <w:t xml:space="preserve">qui est une filiale est exemptée de l'obligation énoncée au paragraphe 1 ▌si l’entreprise elle-même et ses filiales sont </w:t>
      </w:r>
      <w:r w:rsidRPr="00365603">
        <w:rPr>
          <w:b/>
          <w:i/>
          <w:snapToGrid w:val="0"/>
          <w:kern w:val="1"/>
          <w:szCs w:val="24"/>
        </w:rPr>
        <w:t xml:space="preserve">comprises </w:t>
      </w:r>
      <w:r w:rsidRPr="00365603">
        <w:rPr>
          <w:snapToGrid w:val="0"/>
          <w:kern w:val="1"/>
          <w:szCs w:val="24"/>
        </w:rPr>
        <w:t xml:space="preserve">dans ▌le rapport </w:t>
      </w:r>
      <w:r w:rsidRPr="00365603">
        <w:rPr>
          <w:b/>
          <w:i/>
          <w:snapToGrid w:val="0"/>
          <w:kern w:val="1"/>
          <w:szCs w:val="24"/>
        </w:rPr>
        <w:t>consolidé</w:t>
      </w:r>
      <w:r w:rsidRPr="00365603">
        <w:rPr>
          <w:snapToGrid w:val="0"/>
          <w:kern w:val="1"/>
          <w:szCs w:val="24"/>
        </w:rPr>
        <w:t xml:space="preserve"> de gestion</w:t>
      </w:r>
      <w:r w:rsidRPr="00365603">
        <w:rPr>
          <w:b/>
          <w:i/>
          <w:snapToGrid w:val="0"/>
          <w:kern w:val="1"/>
          <w:szCs w:val="24"/>
        </w:rPr>
        <w:t xml:space="preserve"> ou le rapport distinct </w:t>
      </w:r>
      <w:r w:rsidRPr="00365603">
        <w:rPr>
          <w:snapToGrid w:val="0"/>
          <w:kern w:val="1"/>
          <w:szCs w:val="24"/>
        </w:rPr>
        <w:t xml:space="preserve">d'une autre </w:t>
      </w:r>
      <w:r w:rsidRPr="00365603">
        <w:rPr>
          <w:b/>
          <w:i/>
          <w:snapToGrid w:val="0"/>
          <w:kern w:val="1"/>
          <w:szCs w:val="24"/>
        </w:rPr>
        <w:t xml:space="preserve">entreprise, </w:t>
      </w:r>
      <w:r w:rsidRPr="00365603">
        <w:rPr>
          <w:snapToGrid w:val="0"/>
          <w:kern w:val="1"/>
          <w:szCs w:val="24"/>
        </w:rPr>
        <w:t>établi conformément à l'article </w:t>
      </w:r>
      <w:r w:rsidRPr="00365603">
        <w:rPr>
          <w:b/>
          <w:i/>
          <w:snapToGrid w:val="0"/>
          <w:kern w:val="1"/>
          <w:szCs w:val="24"/>
        </w:rPr>
        <w:t>29</w:t>
      </w:r>
      <w:r w:rsidRPr="00365603">
        <w:rPr>
          <w:snapToGrid w:val="0"/>
          <w:kern w:val="1"/>
          <w:szCs w:val="24"/>
        </w:rPr>
        <w:t xml:space="preserve"> </w:t>
      </w:r>
      <w:r w:rsidRPr="00365603">
        <w:rPr>
          <w:b/>
          <w:i/>
          <w:snapToGrid w:val="0"/>
          <w:kern w:val="1"/>
          <w:szCs w:val="24"/>
        </w:rPr>
        <w:t>et au présent article</w:t>
      </w:r>
      <w:r w:rsidRPr="00365603">
        <w:rPr>
          <w:snapToGrid w:val="0"/>
          <w:kern w:val="1"/>
          <w:szCs w:val="24"/>
        </w:rPr>
        <w:t>.</w:t>
      </w:r>
    </w:p>
    <w:p w:rsidR="002022AB" w:rsidRPr="00365603" w:rsidRDefault="002022AB" w:rsidP="00075179">
      <w:pPr>
        <w:spacing w:before="120" w:after="120" w:line="360" w:lineRule="auto"/>
        <w:ind w:left="567" w:hanging="567"/>
        <w:rPr>
          <w:snapToGrid w:val="0"/>
          <w:kern w:val="1"/>
          <w:szCs w:val="24"/>
        </w:rPr>
      </w:pPr>
      <w:r w:rsidRPr="00365603">
        <w:rPr>
          <w:snapToGrid w:val="0"/>
          <w:kern w:val="1"/>
          <w:szCs w:val="24"/>
        </w:rPr>
        <w:br w:type="page"/>
        <w:t>▌</w:t>
      </w:r>
    </w:p>
    <w:p w:rsidR="002022AB" w:rsidRPr="00365603" w:rsidRDefault="002022AB" w:rsidP="00075179">
      <w:pPr>
        <w:spacing w:before="120" w:after="120" w:line="360" w:lineRule="auto"/>
        <w:ind w:left="1418" w:hanging="567"/>
        <w:rPr>
          <w:snapToGrid w:val="0"/>
          <w:kern w:val="1"/>
          <w:szCs w:val="24"/>
        </w:rPr>
      </w:pPr>
      <w:r w:rsidRPr="00365603">
        <w:rPr>
          <w:snapToGrid w:val="0"/>
          <w:kern w:val="1"/>
          <w:szCs w:val="24"/>
        </w:rPr>
        <w:t>4.</w:t>
      </w:r>
      <w:r w:rsidRPr="00365603">
        <w:rPr>
          <w:snapToGrid w:val="0"/>
          <w:kern w:val="1"/>
          <w:szCs w:val="24"/>
        </w:rPr>
        <w:tab/>
        <w:t xml:space="preserve">Lorsqu'une </w:t>
      </w:r>
      <w:r w:rsidRPr="00365603">
        <w:rPr>
          <w:b/>
          <w:i/>
          <w:snapToGrid w:val="0"/>
          <w:kern w:val="1"/>
          <w:szCs w:val="24"/>
        </w:rPr>
        <w:t xml:space="preserve">entreprise </w:t>
      </w:r>
      <w:r w:rsidRPr="00365603">
        <w:rPr>
          <w:snapToGrid w:val="0"/>
          <w:kern w:val="1"/>
          <w:szCs w:val="24"/>
        </w:rPr>
        <w:t xml:space="preserve">établit, en s'appuyant </w:t>
      </w:r>
      <w:r w:rsidRPr="00365603">
        <w:rPr>
          <w:b/>
          <w:i/>
          <w:snapToGrid w:val="0"/>
          <w:kern w:val="1"/>
          <w:szCs w:val="24"/>
        </w:rPr>
        <w:t xml:space="preserve">ou non </w:t>
      </w:r>
      <w:r w:rsidRPr="00365603">
        <w:rPr>
          <w:snapToGrid w:val="0"/>
          <w:kern w:val="1"/>
          <w:szCs w:val="24"/>
        </w:rPr>
        <w:t xml:space="preserve">sur des cadres nationaux, de l'Union ou internationaux, un rapport </w:t>
      </w:r>
      <w:r w:rsidRPr="00365603">
        <w:rPr>
          <w:b/>
          <w:i/>
          <w:snapToGrid w:val="0"/>
          <w:kern w:val="1"/>
          <w:szCs w:val="24"/>
        </w:rPr>
        <w:t>distinct</w:t>
      </w:r>
      <w:r w:rsidRPr="00365603">
        <w:rPr>
          <w:snapToGrid w:val="0"/>
          <w:kern w:val="1"/>
          <w:szCs w:val="24"/>
        </w:rPr>
        <w:t xml:space="preserve"> qui porte sur le même exercice et qui couvre les informations requises pour</w:t>
      </w:r>
      <w:r w:rsidRPr="00365603">
        <w:rPr>
          <w:b/>
          <w:i/>
          <w:snapToGrid w:val="0"/>
          <w:kern w:val="1"/>
          <w:szCs w:val="24"/>
        </w:rPr>
        <w:t xml:space="preserve"> la déclaration non financière telles que </w:t>
      </w:r>
      <w:r w:rsidRPr="00365603">
        <w:rPr>
          <w:snapToGrid w:val="0"/>
          <w:kern w:val="1"/>
          <w:szCs w:val="24"/>
        </w:rPr>
        <w:t xml:space="preserve">prévues au paragraphe 1 ▌, </w:t>
      </w:r>
      <w:r w:rsidRPr="00365603">
        <w:rPr>
          <w:b/>
          <w:i/>
          <w:snapToGrid w:val="0"/>
          <w:kern w:val="1"/>
          <w:szCs w:val="24"/>
        </w:rPr>
        <w:t xml:space="preserve">les États membres peuvent exempter ladite entreprise </w:t>
      </w:r>
      <w:r w:rsidRPr="00365603">
        <w:rPr>
          <w:snapToGrid w:val="0"/>
          <w:kern w:val="1"/>
          <w:szCs w:val="24"/>
        </w:rPr>
        <w:t>de l'obligation d'établir la déclaration non financière prévue au paragraphe 1 ▌, pour autant que ce rapport distinct ▌:</w:t>
      </w:r>
    </w:p>
    <w:p w:rsidR="002022AB" w:rsidRPr="00365603" w:rsidRDefault="002022AB" w:rsidP="00075179">
      <w:pPr>
        <w:spacing w:before="120" w:after="120" w:line="360" w:lineRule="auto"/>
        <w:ind w:left="1985" w:hanging="567"/>
        <w:rPr>
          <w:snapToGrid w:val="0"/>
          <w:szCs w:val="24"/>
        </w:rPr>
      </w:pPr>
      <w:r w:rsidRPr="00365603">
        <w:rPr>
          <w:b/>
          <w:i/>
          <w:snapToGrid w:val="0"/>
          <w:kern w:val="1"/>
          <w:szCs w:val="24"/>
        </w:rPr>
        <w:t>a)</w:t>
      </w:r>
      <w:r w:rsidRPr="00365603">
        <w:rPr>
          <w:b/>
          <w:i/>
          <w:snapToGrid w:val="0"/>
          <w:kern w:val="1"/>
          <w:szCs w:val="24"/>
        </w:rPr>
        <w:tab/>
        <w:t>soit publié en même temps que le rapport de gestion, conformément à l'article 30; ou</w:t>
      </w:r>
    </w:p>
    <w:p w:rsidR="002022AB" w:rsidRPr="00365603" w:rsidRDefault="002022AB" w:rsidP="00075179">
      <w:pPr>
        <w:spacing w:before="120" w:after="120" w:line="360" w:lineRule="auto"/>
        <w:ind w:left="1985" w:hanging="567"/>
        <w:rPr>
          <w:snapToGrid w:val="0"/>
          <w:szCs w:val="24"/>
          <w:u w:val="single"/>
          <w:shd w:val="clear" w:color="auto" w:fill="FFFF00"/>
        </w:rPr>
      </w:pPr>
      <w:r w:rsidRPr="00365603">
        <w:rPr>
          <w:b/>
          <w:i/>
          <w:snapToGrid w:val="0"/>
          <w:kern w:val="1"/>
          <w:szCs w:val="24"/>
        </w:rPr>
        <w:t>b)</w:t>
      </w:r>
      <w:r w:rsidRPr="00365603">
        <w:rPr>
          <w:b/>
          <w:i/>
          <w:snapToGrid w:val="0"/>
          <w:kern w:val="1"/>
          <w:szCs w:val="24"/>
        </w:rPr>
        <w:tab/>
        <w:t xml:space="preserve">soit mis à la disposition du public dans un délai raisonnable, et au plus tard six mois après la date de clôture du bilan, sur le site web de l'entreprise, auquel il est fait référence dans le rapport de gestion. </w:t>
      </w:r>
    </w:p>
    <w:p w:rsidR="002022AB" w:rsidRPr="00365603" w:rsidRDefault="002022AB" w:rsidP="00075179">
      <w:pPr>
        <w:spacing w:before="120" w:after="120" w:line="360" w:lineRule="auto"/>
        <w:ind w:left="1418" w:hanging="567"/>
        <w:rPr>
          <w:b/>
          <w:i/>
          <w:snapToGrid w:val="0"/>
          <w:kern w:val="1"/>
          <w:szCs w:val="24"/>
        </w:rPr>
      </w:pPr>
      <w:r w:rsidRPr="00365603">
        <w:rPr>
          <w:b/>
          <w:i/>
          <w:snapToGrid w:val="0"/>
          <w:kern w:val="1"/>
          <w:szCs w:val="24"/>
          <w:shd w:val="clear" w:color="auto" w:fill="FFFFFF"/>
        </w:rPr>
        <w:br w:type="page"/>
        <w:t>5.</w:t>
      </w:r>
      <w:r w:rsidRPr="00365603">
        <w:rPr>
          <w:b/>
          <w:i/>
          <w:snapToGrid w:val="0"/>
          <w:kern w:val="1"/>
          <w:szCs w:val="24"/>
          <w:shd w:val="clear" w:color="auto" w:fill="FFFFFF"/>
        </w:rPr>
        <w:tab/>
        <w:t>Les États membres veillent à ce que le contrôleur légal des comptes ou le cabinet d'audit vérifie que la déclaration non financière visée au paragraphe 1 ou le rapport distinct visé au paragraphe 4 ont effectivement été fournis.</w:t>
      </w:r>
    </w:p>
    <w:p w:rsidR="002022AB" w:rsidRPr="00365603" w:rsidRDefault="002022AB" w:rsidP="00075179">
      <w:pPr>
        <w:spacing w:before="120" w:after="120" w:line="360" w:lineRule="auto"/>
        <w:ind w:left="1418" w:hanging="567"/>
        <w:rPr>
          <w:b/>
          <w:i/>
          <w:snapToGrid w:val="0"/>
          <w:kern w:val="1"/>
          <w:szCs w:val="24"/>
        </w:rPr>
      </w:pPr>
      <w:r w:rsidRPr="00365603">
        <w:rPr>
          <w:b/>
          <w:i/>
          <w:snapToGrid w:val="0"/>
          <w:kern w:val="1"/>
          <w:szCs w:val="24"/>
        </w:rPr>
        <w:t>6.</w:t>
      </w:r>
      <w:r w:rsidRPr="00365603">
        <w:rPr>
          <w:b/>
          <w:i/>
          <w:snapToGrid w:val="0"/>
          <w:kern w:val="1"/>
          <w:szCs w:val="24"/>
        </w:rPr>
        <w:tab/>
        <w:t>Les États membres peuvent exiger que les informations figurant dans la déclaration non financière visée au paragraphe 1 ou dans le rapport distinct visé au paragraphe 4 soient vérifiées par un prestataire de services d'assurance indépendant.</w:t>
      </w:r>
    </w:p>
    <w:p w:rsidR="002022AB" w:rsidRPr="00365603" w:rsidRDefault="002022AB" w:rsidP="00075179">
      <w:pPr>
        <w:spacing w:before="120" w:after="120" w:line="360" w:lineRule="auto"/>
        <w:ind w:left="1418" w:hanging="567"/>
        <w:rPr>
          <w:i/>
          <w:snapToGrid w:val="0"/>
          <w:szCs w:val="24"/>
        </w:rPr>
      </w:pPr>
      <w:r w:rsidRPr="00365603">
        <w:rPr>
          <w:b/>
          <w:i/>
          <w:snapToGrid w:val="0"/>
          <w:szCs w:val="24"/>
        </w:rPr>
        <w:t>7.</w:t>
      </w:r>
      <w:r w:rsidRPr="00365603">
        <w:rPr>
          <w:b/>
          <w:i/>
          <w:snapToGrid w:val="0"/>
          <w:szCs w:val="24"/>
        </w:rPr>
        <w:tab/>
        <w:t>Les États membres peuvent exempter les petites et moyennes entreprises de l'obligation prévue au paragraphe 1 pour ce qui est des informations de nature non financière.".</w:t>
      </w:r>
    </w:p>
    <w:p w:rsidR="002022AB" w:rsidRPr="00365603" w:rsidRDefault="002022AB" w:rsidP="00075179">
      <w:pPr>
        <w:spacing w:before="120" w:after="120" w:line="360" w:lineRule="auto"/>
        <w:ind w:left="851" w:hanging="851"/>
        <w:rPr>
          <w:snapToGrid w:val="0"/>
          <w:kern w:val="1"/>
          <w:szCs w:val="24"/>
        </w:rPr>
      </w:pPr>
      <w:r w:rsidRPr="00365603">
        <w:rPr>
          <w:i/>
          <w:snapToGrid w:val="0"/>
          <w:kern w:val="1"/>
          <w:szCs w:val="24"/>
        </w:rPr>
        <w:br w:type="page"/>
      </w:r>
      <w:r w:rsidRPr="00365603">
        <w:rPr>
          <w:snapToGrid w:val="0"/>
          <w:kern w:val="1"/>
          <w:szCs w:val="24"/>
        </w:rPr>
        <w:t>2)</w:t>
      </w:r>
      <w:r w:rsidRPr="00365603">
        <w:rPr>
          <w:snapToGrid w:val="0"/>
          <w:kern w:val="1"/>
          <w:szCs w:val="24"/>
        </w:rPr>
        <w:tab/>
        <w:t>L'article </w:t>
      </w:r>
      <w:r w:rsidRPr="00365603">
        <w:rPr>
          <w:b/>
          <w:i/>
          <w:snapToGrid w:val="0"/>
          <w:kern w:val="1"/>
          <w:szCs w:val="24"/>
        </w:rPr>
        <w:t xml:space="preserve">20 </w:t>
      </w:r>
      <w:r w:rsidRPr="00365603">
        <w:rPr>
          <w:snapToGrid w:val="0"/>
          <w:kern w:val="1"/>
          <w:szCs w:val="24"/>
        </w:rPr>
        <w:t>est modifié comme suit:</w:t>
      </w:r>
    </w:p>
    <w:p w:rsidR="002022AB" w:rsidRPr="00365603" w:rsidRDefault="002022AB" w:rsidP="00075179">
      <w:pPr>
        <w:spacing w:before="120" w:after="120" w:line="360" w:lineRule="auto"/>
        <w:ind w:left="1418" w:hanging="567"/>
        <w:rPr>
          <w:snapToGrid w:val="0"/>
          <w:kern w:val="1"/>
          <w:szCs w:val="24"/>
        </w:rPr>
      </w:pPr>
      <w:r w:rsidRPr="00365603">
        <w:rPr>
          <w:snapToGrid w:val="0"/>
          <w:kern w:val="1"/>
          <w:szCs w:val="24"/>
        </w:rPr>
        <w:t>a)</w:t>
      </w:r>
      <w:r w:rsidRPr="00365603">
        <w:rPr>
          <w:snapToGrid w:val="0"/>
          <w:kern w:val="1"/>
          <w:szCs w:val="24"/>
        </w:rPr>
        <w:tab/>
        <w:t>au paragraphe 1, le point ▌suivant est ajouté:</w:t>
      </w:r>
    </w:p>
    <w:p w:rsidR="002022AB" w:rsidRPr="00365603" w:rsidRDefault="002022AB" w:rsidP="00075179">
      <w:pPr>
        <w:spacing w:before="120" w:after="120" w:line="360" w:lineRule="auto"/>
        <w:ind w:left="1985" w:hanging="567"/>
        <w:rPr>
          <w:snapToGrid w:val="0"/>
          <w:szCs w:val="24"/>
        </w:rPr>
      </w:pPr>
      <w:r w:rsidRPr="00365603">
        <w:rPr>
          <w:snapToGrid w:val="0"/>
          <w:kern w:val="1"/>
          <w:szCs w:val="24"/>
        </w:rPr>
        <w:t>"g)</w:t>
      </w:r>
      <w:r w:rsidRPr="00365603">
        <w:rPr>
          <w:snapToGrid w:val="0"/>
          <w:kern w:val="1"/>
          <w:szCs w:val="24"/>
        </w:rPr>
        <w:tab/>
        <w:t xml:space="preserve">une description de la politique de diversité </w:t>
      </w:r>
      <w:r w:rsidRPr="00365603">
        <w:rPr>
          <w:b/>
          <w:i/>
          <w:snapToGrid w:val="0"/>
          <w:kern w:val="1"/>
          <w:szCs w:val="24"/>
        </w:rPr>
        <w:t xml:space="preserve">appliquée aux </w:t>
      </w:r>
      <w:r w:rsidRPr="00365603">
        <w:rPr>
          <w:snapToGrid w:val="0"/>
          <w:kern w:val="1"/>
          <w:szCs w:val="24"/>
        </w:rPr>
        <w:t xml:space="preserve">organes d'administration, de gestion ou de surveillance </w:t>
      </w:r>
      <w:r w:rsidRPr="00365603">
        <w:rPr>
          <w:b/>
          <w:i/>
          <w:snapToGrid w:val="0"/>
          <w:kern w:val="1"/>
          <w:szCs w:val="24"/>
        </w:rPr>
        <w:t xml:space="preserve">de l'entreprise </w:t>
      </w:r>
      <w:r w:rsidRPr="00365603">
        <w:rPr>
          <w:snapToGrid w:val="0"/>
          <w:kern w:val="1"/>
          <w:szCs w:val="24"/>
        </w:rPr>
        <w:t xml:space="preserve">au regard de critères tels que, </w:t>
      </w:r>
      <w:r w:rsidRPr="00365603">
        <w:rPr>
          <w:b/>
          <w:i/>
          <w:snapToGrid w:val="0"/>
          <w:kern w:val="1"/>
          <w:szCs w:val="24"/>
        </w:rPr>
        <w:t>par exemple,</w:t>
      </w:r>
      <w:r w:rsidRPr="00365603">
        <w:rPr>
          <w:snapToGrid w:val="0"/>
          <w:kern w:val="1"/>
          <w:szCs w:val="24"/>
        </w:rPr>
        <w:t xml:space="preserve"> l'âge, le genre, ▌les qualifications et l'expérience professionnelle, ainsi qu'une description des objectifs de cette politique, de ses modalités de mise en œuvre et des résultats de sa mise en œuvre obtenus au cours de la période de référence. </w:t>
      </w:r>
      <w:r w:rsidRPr="00365603">
        <w:rPr>
          <w:b/>
          <w:i/>
          <w:snapToGrid w:val="0"/>
          <w:kern w:val="1"/>
          <w:szCs w:val="24"/>
        </w:rPr>
        <w:t>À défaut d'une telle politique</w:t>
      </w:r>
      <w:r w:rsidRPr="00365603">
        <w:rPr>
          <w:snapToGrid w:val="0"/>
          <w:kern w:val="1"/>
          <w:szCs w:val="24"/>
        </w:rPr>
        <w:t xml:space="preserve">, </w:t>
      </w:r>
      <w:r w:rsidRPr="00365603">
        <w:rPr>
          <w:b/>
          <w:i/>
          <w:snapToGrid w:val="0"/>
          <w:kern w:val="1"/>
          <w:szCs w:val="24"/>
        </w:rPr>
        <w:t>la déclaration comprend</w:t>
      </w:r>
      <w:r w:rsidRPr="00365603">
        <w:rPr>
          <w:snapToGrid w:val="0"/>
          <w:kern w:val="1"/>
          <w:szCs w:val="24"/>
        </w:rPr>
        <w:t xml:space="preserve"> une explication ▌des raisons de ce fait▌." ;</w:t>
      </w:r>
    </w:p>
    <w:p w:rsidR="002022AB" w:rsidRPr="00365603" w:rsidRDefault="002022AB" w:rsidP="00075179">
      <w:pPr>
        <w:spacing w:before="120" w:after="120" w:line="360" w:lineRule="auto"/>
        <w:ind w:left="1418" w:hanging="567"/>
        <w:rPr>
          <w:b/>
          <w:i/>
          <w:snapToGrid w:val="0"/>
          <w:kern w:val="1"/>
          <w:szCs w:val="24"/>
        </w:rPr>
      </w:pPr>
      <w:r w:rsidRPr="00365603">
        <w:rPr>
          <w:snapToGrid w:val="0"/>
          <w:kern w:val="1"/>
          <w:szCs w:val="24"/>
        </w:rPr>
        <w:t>b)</w:t>
      </w:r>
      <w:r w:rsidRPr="00365603">
        <w:rPr>
          <w:snapToGrid w:val="0"/>
          <w:kern w:val="1"/>
          <w:szCs w:val="24"/>
        </w:rPr>
        <w:tab/>
      </w:r>
      <w:r w:rsidRPr="00365603">
        <w:rPr>
          <w:b/>
          <w:i/>
          <w:snapToGrid w:val="0"/>
          <w:kern w:val="1"/>
          <w:szCs w:val="24"/>
        </w:rPr>
        <w:t>le paragraphe 3 est remplacé par le texte suivant:</w:t>
      </w:r>
    </w:p>
    <w:p w:rsidR="002022AB" w:rsidRPr="00365603" w:rsidRDefault="002022AB" w:rsidP="00075179">
      <w:pPr>
        <w:spacing w:before="120" w:after="120" w:line="360" w:lineRule="auto"/>
        <w:ind w:left="1985" w:hanging="567"/>
        <w:rPr>
          <w:snapToGrid w:val="0"/>
          <w:kern w:val="1"/>
          <w:szCs w:val="24"/>
        </w:rPr>
      </w:pPr>
      <w:r w:rsidRPr="00365603">
        <w:rPr>
          <w:b/>
          <w:i/>
          <w:snapToGrid w:val="0"/>
          <w:kern w:val="1"/>
          <w:szCs w:val="24"/>
        </w:rPr>
        <w:t>"3.</w:t>
      </w:r>
      <w:r w:rsidRPr="00365603">
        <w:rPr>
          <w:b/>
          <w:i/>
          <w:snapToGrid w:val="0"/>
          <w:kern w:val="1"/>
          <w:szCs w:val="24"/>
        </w:rPr>
        <w:tab/>
        <w:t>Le contrôleur légal des comptes ou le cabinet d'audit émet un avis conformément à l'article 34, paragraphe 1, deuxième alinéa, sur les informations présentées en vertu du paragraphe 1, points c) et d), du présent article, et vérifie que les informations visées au paragraphe 1, points a), b), e), f) et g), du présent article, ont été fournies."</w:t>
      </w:r>
    </w:p>
    <w:p w:rsidR="002022AB" w:rsidRPr="00365603" w:rsidRDefault="002022AB" w:rsidP="00075179">
      <w:pPr>
        <w:spacing w:before="120" w:after="120" w:line="360" w:lineRule="auto"/>
        <w:ind w:left="1418" w:hanging="567"/>
        <w:rPr>
          <w:b/>
          <w:i/>
          <w:snapToGrid w:val="0"/>
          <w:kern w:val="1"/>
          <w:szCs w:val="24"/>
          <w:shd w:val="clear" w:color="auto" w:fill="FFFFFF"/>
        </w:rPr>
      </w:pPr>
      <w:r w:rsidRPr="00365603">
        <w:rPr>
          <w:b/>
          <w:i/>
          <w:snapToGrid w:val="0"/>
          <w:kern w:val="1"/>
          <w:szCs w:val="24"/>
          <w:shd w:val="clear" w:color="auto" w:fill="FFFFFF"/>
        </w:rPr>
        <w:br w:type="page"/>
        <w:t>c)</w:t>
      </w:r>
      <w:r w:rsidRPr="00365603">
        <w:rPr>
          <w:b/>
          <w:i/>
          <w:snapToGrid w:val="0"/>
          <w:kern w:val="1"/>
          <w:szCs w:val="24"/>
          <w:shd w:val="clear" w:color="auto" w:fill="FFFFFF"/>
        </w:rPr>
        <w:tab/>
        <w:t>Le paragraphe 4 est remplacé par le texte suivant:</w:t>
      </w:r>
    </w:p>
    <w:p w:rsidR="002022AB" w:rsidRPr="00365603" w:rsidRDefault="002022AB" w:rsidP="00075179">
      <w:pPr>
        <w:spacing w:before="120" w:after="120" w:line="360" w:lineRule="auto"/>
        <w:ind w:left="1985" w:hanging="567"/>
        <w:rPr>
          <w:b/>
          <w:i/>
          <w:snapToGrid w:val="0"/>
          <w:kern w:val="1"/>
          <w:szCs w:val="24"/>
        </w:rPr>
      </w:pPr>
      <w:r w:rsidRPr="00365603">
        <w:rPr>
          <w:b/>
          <w:i/>
          <w:snapToGrid w:val="0"/>
          <w:kern w:val="1"/>
          <w:szCs w:val="24"/>
          <w:shd w:val="clear" w:color="auto" w:fill="FFFFFF"/>
        </w:rPr>
        <w:t xml:space="preserve">"4. </w:t>
      </w:r>
      <w:r w:rsidRPr="00365603">
        <w:rPr>
          <w:b/>
          <w:i/>
          <w:snapToGrid w:val="0"/>
          <w:kern w:val="1"/>
          <w:szCs w:val="24"/>
          <w:shd w:val="clear" w:color="auto" w:fill="FFFFFF"/>
        </w:rPr>
        <w:tab/>
      </w:r>
      <w:r w:rsidRPr="00365603">
        <w:rPr>
          <w:snapToGrid w:val="0"/>
          <w:kern w:val="1"/>
          <w:szCs w:val="24"/>
          <w:shd w:val="clear" w:color="auto" w:fill="FFFFFF"/>
        </w:rPr>
        <w:t>Les États membres</w:t>
      </w:r>
      <w:r w:rsidRPr="00365603">
        <w:rPr>
          <w:b/>
          <w:i/>
          <w:snapToGrid w:val="0"/>
          <w:kern w:val="1"/>
          <w:szCs w:val="24"/>
          <w:shd w:val="clear" w:color="auto" w:fill="FFFFFF"/>
        </w:rPr>
        <w:t xml:space="preserve"> peuvent exempter les entreprises visées au paragraphe 1 qui n'ont émis que des titres autres que des actions admises </w:t>
      </w:r>
      <w:r w:rsidRPr="00365603">
        <w:rPr>
          <w:snapToGrid w:val="0"/>
          <w:kern w:val="1"/>
          <w:szCs w:val="24"/>
          <w:shd w:val="clear" w:color="auto" w:fill="FFFFFF"/>
        </w:rPr>
        <w:t>à la négociation sur un marché réglementé, au sens de l'article 4, paragraphe 1, point 14), de la directive 2004/39/CE</w:t>
      </w:r>
      <w:r w:rsidRPr="00365603">
        <w:rPr>
          <w:b/>
          <w:i/>
          <w:snapToGrid w:val="0"/>
          <w:kern w:val="1"/>
          <w:szCs w:val="24"/>
          <w:shd w:val="clear" w:color="auto" w:fill="FFFFFF"/>
        </w:rPr>
        <w:t>, de l'application du paragraphe 1, points a), b), e), f) et g), du présent article, à moins que ces entreprises n'aient émis des actions négociées dans le cadre d'un système multilatéral de négociation, au sens de l'article 4, paragraphe 1, point 15), de la directive 2004/39/CE."</w:t>
      </w:r>
    </w:p>
    <w:p w:rsidR="002022AB" w:rsidRPr="00365603" w:rsidRDefault="002022AB" w:rsidP="00075179">
      <w:pPr>
        <w:spacing w:before="120" w:after="120" w:line="360" w:lineRule="auto"/>
        <w:ind w:left="1418" w:hanging="567"/>
        <w:rPr>
          <w:snapToGrid w:val="0"/>
          <w:szCs w:val="24"/>
        </w:rPr>
      </w:pPr>
      <w:r w:rsidRPr="00365603">
        <w:rPr>
          <w:b/>
          <w:i/>
          <w:snapToGrid w:val="0"/>
          <w:kern w:val="1"/>
          <w:szCs w:val="24"/>
        </w:rPr>
        <w:t>d)</w:t>
      </w:r>
      <w:r w:rsidRPr="00365603">
        <w:rPr>
          <w:snapToGrid w:val="0"/>
          <w:kern w:val="1"/>
          <w:szCs w:val="24"/>
        </w:rPr>
        <w:tab/>
        <w:t>Le paragraphe ▌suivant est ajouté:</w:t>
      </w:r>
    </w:p>
    <w:p w:rsidR="002022AB" w:rsidRPr="00365603" w:rsidRDefault="002022AB" w:rsidP="00075179">
      <w:pPr>
        <w:spacing w:before="120" w:after="120" w:line="360" w:lineRule="auto"/>
        <w:ind w:left="1985" w:hanging="567"/>
        <w:rPr>
          <w:b/>
          <w:snapToGrid w:val="0"/>
          <w:kern w:val="1"/>
          <w:szCs w:val="24"/>
          <w:u w:val="single"/>
        </w:rPr>
      </w:pPr>
      <w:r w:rsidRPr="00365603">
        <w:rPr>
          <w:b/>
          <w:i/>
          <w:snapToGrid w:val="0"/>
          <w:kern w:val="1"/>
          <w:szCs w:val="24"/>
        </w:rPr>
        <w:t>"5.</w:t>
      </w:r>
      <w:r w:rsidRPr="00365603">
        <w:rPr>
          <w:b/>
          <w:i/>
          <w:snapToGrid w:val="0"/>
          <w:kern w:val="1"/>
          <w:szCs w:val="24"/>
        </w:rPr>
        <w:tab/>
        <w:t xml:space="preserve">Nonobstant l'article 40, </w:t>
      </w:r>
      <w:r w:rsidRPr="00365603">
        <w:rPr>
          <w:snapToGrid w:val="0"/>
          <w:kern w:val="1"/>
          <w:szCs w:val="24"/>
        </w:rPr>
        <w:t>le paragraphe 1, point g),</w:t>
      </w:r>
      <w:r w:rsidRPr="00365603">
        <w:rPr>
          <w:b/>
          <w:i/>
          <w:snapToGrid w:val="0"/>
          <w:kern w:val="1"/>
          <w:szCs w:val="24"/>
        </w:rPr>
        <w:t xml:space="preserve"> </w:t>
      </w:r>
      <w:r w:rsidRPr="00365603">
        <w:rPr>
          <w:snapToGrid w:val="0"/>
          <w:kern w:val="1"/>
          <w:szCs w:val="24"/>
        </w:rPr>
        <w:t>ne s'applique pas aux</w:t>
      </w:r>
      <w:r w:rsidRPr="00365603">
        <w:rPr>
          <w:b/>
          <w:i/>
          <w:snapToGrid w:val="0"/>
          <w:kern w:val="1"/>
          <w:szCs w:val="24"/>
        </w:rPr>
        <w:t xml:space="preserve"> petites et moyennes entreprises."</w:t>
      </w:r>
      <w:r w:rsidRPr="00365603">
        <w:rPr>
          <w:snapToGrid w:val="0"/>
          <w:kern w:val="1"/>
          <w:szCs w:val="24"/>
        </w:rPr>
        <w:t xml:space="preserve"> .</w:t>
      </w:r>
    </w:p>
    <w:p w:rsidR="002022AB" w:rsidRPr="00365603" w:rsidRDefault="002022AB" w:rsidP="00075179">
      <w:pPr>
        <w:spacing w:before="120" w:after="120" w:line="360" w:lineRule="auto"/>
        <w:ind w:left="851" w:hanging="851"/>
        <w:rPr>
          <w:snapToGrid w:val="0"/>
          <w:kern w:val="1"/>
          <w:szCs w:val="24"/>
        </w:rPr>
      </w:pPr>
      <w:r w:rsidRPr="00365603">
        <w:rPr>
          <w:b/>
          <w:snapToGrid w:val="0"/>
          <w:kern w:val="1"/>
          <w:szCs w:val="24"/>
        </w:rPr>
        <w:br w:type="page"/>
      </w:r>
      <w:r w:rsidRPr="00365603">
        <w:rPr>
          <w:b/>
          <w:i/>
          <w:snapToGrid w:val="0"/>
          <w:kern w:val="1"/>
          <w:szCs w:val="24"/>
        </w:rPr>
        <w:t>3)</w:t>
      </w:r>
      <w:r w:rsidRPr="00365603">
        <w:rPr>
          <w:snapToGrid w:val="0"/>
          <w:kern w:val="1"/>
          <w:szCs w:val="24"/>
        </w:rPr>
        <w:tab/>
        <w:t xml:space="preserve">L'article </w:t>
      </w:r>
      <w:r w:rsidRPr="00365603">
        <w:rPr>
          <w:b/>
          <w:i/>
          <w:snapToGrid w:val="0"/>
          <w:kern w:val="1"/>
          <w:szCs w:val="24"/>
        </w:rPr>
        <w:t>suivant</w:t>
      </w:r>
      <w:r w:rsidRPr="00365603">
        <w:rPr>
          <w:snapToGrid w:val="0"/>
          <w:kern w:val="1"/>
          <w:szCs w:val="24"/>
        </w:rPr>
        <w:t xml:space="preserve"> est </w:t>
      </w:r>
      <w:r w:rsidRPr="00365603">
        <w:rPr>
          <w:b/>
          <w:i/>
          <w:snapToGrid w:val="0"/>
          <w:kern w:val="1"/>
          <w:szCs w:val="24"/>
        </w:rPr>
        <w:t>inséré</w:t>
      </w:r>
      <w:r w:rsidRPr="00365603">
        <w:rPr>
          <w:snapToGrid w:val="0"/>
          <w:kern w:val="1"/>
          <w:szCs w:val="24"/>
        </w:rPr>
        <w:t>:</w:t>
      </w:r>
    </w:p>
    <w:p w:rsidR="002022AB" w:rsidRPr="00365603" w:rsidRDefault="002022AB" w:rsidP="00075179">
      <w:pPr>
        <w:spacing w:before="120" w:after="120" w:line="360" w:lineRule="auto"/>
        <w:ind w:left="851"/>
        <w:rPr>
          <w:snapToGrid w:val="0"/>
          <w:szCs w:val="24"/>
        </w:rPr>
      </w:pPr>
      <w:r w:rsidRPr="00365603">
        <w:rPr>
          <w:b/>
          <w:i/>
          <w:snapToGrid w:val="0"/>
          <w:kern w:val="1"/>
          <w:szCs w:val="24"/>
        </w:rPr>
        <w:t>"Article 29 bis</w:t>
      </w:r>
      <w:r w:rsidRPr="00365603">
        <w:rPr>
          <w:b/>
          <w:i/>
          <w:snapToGrid w:val="0"/>
          <w:kern w:val="1"/>
          <w:szCs w:val="24"/>
        </w:rPr>
        <w:br/>
        <w:t>Déclaration non financière consolidée</w:t>
      </w:r>
    </w:p>
    <w:p w:rsidR="002022AB" w:rsidRPr="00365603" w:rsidRDefault="002022AB" w:rsidP="00075179">
      <w:pPr>
        <w:spacing w:before="120" w:after="120" w:line="360" w:lineRule="auto"/>
        <w:ind w:left="1440" w:hanging="589"/>
        <w:rPr>
          <w:snapToGrid w:val="0"/>
          <w:kern w:val="1"/>
          <w:szCs w:val="24"/>
        </w:rPr>
      </w:pPr>
      <w:r w:rsidRPr="00365603">
        <w:rPr>
          <w:b/>
          <w:i/>
          <w:snapToGrid w:val="0"/>
          <w:kern w:val="1"/>
          <w:szCs w:val="24"/>
        </w:rPr>
        <w:t>1.</w:t>
      </w:r>
      <w:r w:rsidRPr="00365603">
        <w:rPr>
          <w:b/>
          <w:i/>
          <w:snapToGrid w:val="0"/>
          <w:kern w:val="1"/>
          <w:szCs w:val="24"/>
        </w:rPr>
        <w:tab/>
        <w:t xml:space="preserve">Les entités d'intérêt public qui sont des </w:t>
      </w:r>
      <w:r w:rsidRPr="00365603">
        <w:rPr>
          <w:snapToGrid w:val="0"/>
          <w:kern w:val="1"/>
          <w:szCs w:val="24"/>
        </w:rPr>
        <w:t>entreprises mères d'</w:t>
      </w:r>
      <w:r w:rsidRPr="00365603">
        <w:rPr>
          <w:b/>
          <w:i/>
          <w:snapToGrid w:val="0"/>
          <w:kern w:val="1"/>
          <w:szCs w:val="24"/>
        </w:rPr>
        <w:t>un grand groupe dépassant, à la date de clôture de leur bilan, sur une base consolidée, le critère du nombre moyen</w:t>
      </w:r>
      <w:r w:rsidRPr="00365603">
        <w:rPr>
          <w:snapToGrid w:val="0"/>
          <w:kern w:val="1"/>
          <w:szCs w:val="24"/>
        </w:rPr>
        <w:t xml:space="preserve"> de 500 salariés sur l'exercice </w:t>
      </w:r>
      <w:r w:rsidRPr="00365603">
        <w:rPr>
          <w:b/>
          <w:i/>
          <w:snapToGrid w:val="0"/>
          <w:kern w:val="1"/>
          <w:szCs w:val="24"/>
        </w:rPr>
        <w:t xml:space="preserve">prévoient dans le rapport consolidé de gestion </w:t>
      </w:r>
      <w:r w:rsidRPr="00365603">
        <w:rPr>
          <w:snapToGrid w:val="0"/>
          <w:kern w:val="1"/>
          <w:szCs w:val="24"/>
        </w:rPr>
        <w:t xml:space="preserve">une déclaration non financière </w:t>
      </w:r>
      <w:r w:rsidRPr="00365603">
        <w:rPr>
          <w:b/>
          <w:i/>
          <w:snapToGrid w:val="0"/>
          <w:kern w:val="1"/>
          <w:szCs w:val="24"/>
        </w:rPr>
        <w:t>consolidée</w:t>
      </w:r>
      <w:r w:rsidRPr="00365603">
        <w:rPr>
          <w:snapToGrid w:val="0"/>
          <w:kern w:val="1"/>
          <w:szCs w:val="24"/>
        </w:rPr>
        <w:t xml:space="preserve"> comprenant des informations</w:t>
      </w:r>
      <w:r w:rsidRPr="00365603">
        <w:rPr>
          <w:b/>
          <w:i/>
          <w:snapToGrid w:val="0"/>
          <w:kern w:val="1"/>
          <w:szCs w:val="24"/>
        </w:rPr>
        <w:t xml:space="preserve">, dans la mesure nécessaire à la compréhension de l'évolution des affaires, des résultats et de la situation du groupe, ainsi que des retombées de son activité, </w:t>
      </w:r>
      <w:r w:rsidRPr="00365603">
        <w:rPr>
          <w:snapToGrid w:val="0"/>
          <w:kern w:val="1"/>
          <w:szCs w:val="24"/>
        </w:rPr>
        <w:t>relatives</w:t>
      </w:r>
      <w:r w:rsidRPr="00365603">
        <w:rPr>
          <w:b/>
          <w:i/>
          <w:snapToGrid w:val="0"/>
          <w:kern w:val="1"/>
          <w:szCs w:val="24"/>
        </w:rPr>
        <w:t>,</w:t>
      </w:r>
      <w:r w:rsidRPr="00365603">
        <w:rPr>
          <w:snapToGrid w:val="0"/>
          <w:kern w:val="1"/>
          <w:szCs w:val="24"/>
        </w:rPr>
        <w:t xml:space="preserve"> </w:t>
      </w:r>
      <w:r w:rsidRPr="00365603">
        <w:rPr>
          <w:b/>
          <w:i/>
          <w:snapToGrid w:val="0"/>
          <w:kern w:val="1"/>
          <w:szCs w:val="24"/>
        </w:rPr>
        <w:t>à tout le moins,</w:t>
      </w:r>
      <w:r w:rsidRPr="00365603">
        <w:rPr>
          <w:snapToGrid w:val="0"/>
          <w:kern w:val="1"/>
          <w:szCs w:val="24"/>
        </w:rPr>
        <w:t xml:space="preserve"> aux questions environnementales, sociales</w:t>
      </w:r>
      <w:r w:rsidRPr="00365603">
        <w:rPr>
          <w:b/>
          <w:i/>
          <w:snapToGrid w:val="0"/>
          <w:kern w:val="1"/>
          <w:szCs w:val="24"/>
        </w:rPr>
        <w:t xml:space="preserve">, </w:t>
      </w:r>
      <w:r w:rsidRPr="00365603">
        <w:rPr>
          <w:snapToGrid w:val="0"/>
          <w:kern w:val="1"/>
          <w:szCs w:val="24"/>
        </w:rPr>
        <w:t>de personnel, de respect des droits de l'homme et de lutte contre la corruption, y compris:</w:t>
      </w:r>
    </w:p>
    <w:p w:rsidR="002022AB" w:rsidRPr="00365603" w:rsidRDefault="002022AB" w:rsidP="00075179">
      <w:pPr>
        <w:spacing w:before="120" w:after="120" w:line="360" w:lineRule="auto"/>
        <w:ind w:left="1418" w:hanging="567"/>
        <w:rPr>
          <w:snapToGrid w:val="0"/>
          <w:szCs w:val="24"/>
        </w:rPr>
      </w:pPr>
      <w:r w:rsidRPr="00365603">
        <w:rPr>
          <w:snapToGrid w:val="0"/>
          <w:kern w:val="1"/>
          <w:szCs w:val="24"/>
        </w:rPr>
        <w:br w:type="page"/>
      </w:r>
      <w:r w:rsidRPr="00365603">
        <w:rPr>
          <w:b/>
          <w:i/>
          <w:snapToGrid w:val="0"/>
          <w:szCs w:val="24"/>
        </w:rPr>
        <w:t xml:space="preserve">a) </w:t>
      </w:r>
      <w:r w:rsidRPr="00365603">
        <w:rPr>
          <w:b/>
          <w:i/>
          <w:snapToGrid w:val="0"/>
          <w:szCs w:val="24"/>
        </w:rPr>
        <w:tab/>
        <w:t>une brève description du modèle commercial du groupe;</w:t>
      </w:r>
    </w:p>
    <w:p w:rsidR="002022AB" w:rsidRPr="00365603" w:rsidRDefault="002022AB" w:rsidP="00075179">
      <w:pPr>
        <w:spacing w:before="120" w:after="120" w:line="360" w:lineRule="auto"/>
        <w:ind w:left="1418" w:hanging="567"/>
        <w:rPr>
          <w:snapToGrid w:val="0"/>
          <w:szCs w:val="24"/>
        </w:rPr>
      </w:pPr>
      <w:r w:rsidRPr="00365603">
        <w:rPr>
          <w:b/>
          <w:i/>
          <w:snapToGrid w:val="0"/>
          <w:kern w:val="1"/>
          <w:szCs w:val="24"/>
        </w:rPr>
        <w:t>b)</w:t>
      </w:r>
      <w:r w:rsidRPr="00365603">
        <w:rPr>
          <w:i/>
          <w:snapToGrid w:val="0"/>
          <w:kern w:val="1"/>
          <w:szCs w:val="24"/>
        </w:rPr>
        <w:tab/>
      </w:r>
      <w:r w:rsidRPr="00365603">
        <w:rPr>
          <w:snapToGrid w:val="0"/>
          <w:kern w:val="1"/>
          <w:szCs w:val="24"/>
        </w:rPr>
        <w:t xml:space="preserve">une description de la politique appliquée par </w:t>
      </w:r>
      <w:r w:rsidRPr="00365603">
        <w:rPr>
          <w:b/>
          <w:i/>
          <w:snapToGrid w:val="0"/>
          <w:kern w:val="1"/>
          <w:szCs w:val="24"/>
        </w:rPr>
        <w:t>le groupe</w:t>
      </w:r>
      <w:r w:rsidRPr="00365603">
        <w:rPr>
          <w:snapToGrid w:val="0"/>
          <w:kern w:val="1"/>
          <w:szCs w:val="24"/>
        </w:rPr>
        <w:t xml:space="preserve"> en ce qui concerne ces questions</w:t>
      </w:r>
      <w:r w:rsidRPr="00365603">
        <w:rPr>
          <w:b/>
          <w:i/>
          <w:snapToGrid w:val="0"/>
          <w:kern w:val="1"/>
          <w:szCs w:val="24"/>
        </w:rPr>
        <w:t>, y compris pour ce qui est des procédures de diligence raisonnable mises en œuvre</w:t>
      </w:r>
      <w:r w:rsidRPr="00365603">
        <w:rPr>
          <w:i/>
          <w:snapToGrid w:val="0"/>
          <w:kern w:val="1"/>
          <w:szCs w:val="24"/>
        </w:rPr>
        <w:t>;</w:t>
      </w:r>
    </w:p>
    <w:p w:rsidR="002022AB" w:rsidRPr="00365603" w:rsidRDefault="002022AB" w:rsidP="00075179">
      <w:pPr>
        <w:spacing w:before="120" w:after="120" w:line="360" w:lineRule="auto"/>
        <w:ind w:left="1418" w:hanging="567"/>
        <w:rPr>
          <w:snapToGrid w:val="0"/>
          <w:szCs w:val="24"/>
        </w:rPr>
      </w:pPr>
      <w:r w:rsidRPr="00365603">
        <w:rPr>
          <w:b/>
          <w:i/>
          <w:snapToGrid w:val="0"/>
          <w:kern w:val="1"/>
          <w:szCs w:val="24"/>
        </w:rPr>
        <w:t>c)</w:t>
      </w:r>
      <w:r w:rsidRPr="00365603">
        <w:rPr>
          <w:i/>
          <w:snapToGrid w:val="0"/>
          <w:kern w:val="1"/>
          <w:szCs w:val="24"/>
        </w:rPr>
        <w:tab/>
      </w:r>
      <w:r w:rsidRPr="00365603">
        <w:rPr>
          <w:snapToGrid w:val="0"/>
          <w:kern w:val="1"/>
          <w:szCs w:val="24"/>
        </w:rPr>
        <w:t>les résultats de ces politiques</w:t>
      </w:r>
      <w:r w:rsidRPr="00365603">
        <w:rPr>
          <w:i/>
          <w:snapToGrid w:val="0"/>
          <w:kern w:val="1"/>
          <w:szCs w:val="24"/>
        </w:rPr>
        <w:t>;</w:t>
      </w:r>
    </w:p>
    <w:p w:rsidR="002022AB" w:rsidRPr="00365603" w:rsidRDefault="002022AB" w:rsidP="00075179">
      <w:pPr>
        <w:spacing w:before="120" w:after="120" w:line="360" w:lineRule="auto"/>
        <w:ind w:left="1418" w:hanging="567"/>
        <w:rPr>
          <w:snapToGrid w:val="0"/>
          <w:szCs w:val="24"/>
        </w:rPr>
      </w:pPr>
      <w:r w:rsidRPr="00365603">
        <w:rPr>
          <w:b/>
          <w:i/>
          <w:snapToGrid w:val="0"/>
          <w:kern w:val="1"/>
          <w:szCs w:val="24"/>
        </w:rPr>
        <w:t>d)</w:t>
      </w:r>
      <w:r w:rsidRPr="00365603">
        <w:rPr>
          <w:snapToGrid w:val="0"/>
          <w:kern w:val="1"/>
          <w:szCs w:val="24"/>
        </w:rPr>
        <w:tab/>
        <w:t xml:space="preserve">les </w:t>
      </w:r>
      <w:r w:rsidRPr="00365603">
        <w:rPr>
          <w:b/>
          <w:i/>
          <w:snapToGrid w:val="0"/>
          <w:kern w:val="1"/>
          <w:szCs w:val="24"/>
        </w:rPr>
        <w:t>principaux</w:t>
      </w:r>
      <w:r w:rsidRPr="00365603">
        <w:rPr>
          <w:snapToGrid w:val="0"/>
          <w:kern w:val="1"/>
          <w:szCs w:val="24"/>
        </w:rPr>
        <w:t xml:space="preserve"> risques liés à ces questions </w:t>
      </w:r>
      <w:r w:rsidRPr="00365603">
        <w:rPr>
          <w:b/>
          <w:i/>
          <w:snapToGrid w:val="0"/>
          <w:kern w:val="1"/>
          <w:szCs w:val="24"/>
        </w:rPr>
        <w:t>en rapport avec les opérations du groupe, y compris, lorsque cela s'avère nécessaire et proportionné, les relations d'affaires, les produits ou les services du groupe, qui sont susceptibles d'entraîner des retombées négatives dans ces domaines,</w:t>
      </w:r>
      <w:r w:rsidRPr="00365603">
        <w:rPr>
          <w:snapToGrid w:val="0"/>
          <w:kern w:val="1"/>
          <w:szCs w:val="24"/>
        </w:rPr>
        <w:t xml:space="preserve"> et la manière dont </w:t>
      </w:r>
      <w:r w:rsidRPr="00365603">
        <w:rPr>
          <w:b/>
          <w:i/>
          <w:snapToGrid w:val="0"/>
          <w:kern w:val="1"/>
          <w:szCs w:val="24"/>
        </w:rPr>
        <w:t>le groupe</w:t>
      </w:r>
      <w:r w:rsidRPr="00365603">
        <w:rPr>
          <w:snapToGrid w:val="0"/>
          <w:kern w:val="1"/>
          <w:szCs w:val="24"/>
        </w:rPr>
        <w:t xml:space="preserve"> gère ces risques</w:t>
      </w:r>
      <w:r w:rsidRPr="00365603">
        <w:rPr>
          <w:b/>
          <w:i/>
          <w:snapToGrid w:val="0"/>
          <w:kern w:val="1"/>
          <w:szCs w:val="24"/>
        </w:rPr>
        <w:t>;</w:t>
      </w:r>
    </w:p>
    <w:p w:rsidR="002022AB" w:rsidRPr="00365603" w:rsidRDefault="002022AB" w:rsidP="00075179">
      <w:pPr>
        <w:spacing w:before="120" w:after="120" w:line="360" w:lineRule="auto"/>
        <w:ind w:left="1418" w:hanging="567"/>
        <w:rPr>
          <w:snapToGrid w:val="0"/>
          <w:kern w:val="1"/>
          <w:szCs w:val="24"/>
        </w:rPr>
      </w:pPr>
      <w:r w:rsidRPr="00365603">
        <w:rPr>
          <w:b/>
          <w:i/>
          <w:snapToGrid w:val="0"/>
          <w:kern w:val="1"/>
          <w:szCs w:val="24"/>
        </w:rPr>
        <w:t>e)</w:t>
      </w:r>
      <w:r w:rsidRPr="00365603">
        <w:rPr>
          <w:snapToGrid w:val="0"/>
          <w:kern w:val="1"/>
          <w:szCs w:val="24"/>
        </w:rPr>
        <w:tab/>
      </w:r>
      <w:r w:rsidRPr="00365603">
        <w:rPr>
          <w:b/>
          <w:i/>
          <w:snapToGrid w:val="0"/>
          <w:szCs w:val="24"/>
        </w:rPr>
        <w:t>les indicateurs clés de performance de nature non financière applicables aux activités en question.</w:t>
      </w:r>
    </w:p>
    <w:p w:rsidR="002022AB" w:rsidRPr="00365603" w:rsidRDefault="002022AB" w:rsidP="00075179">
      <w:pPr>
        <w:spacing w:before="120" w:after="120" w:line="360" w:lineRule="auto"/>
        <w:ind w:left="851"/>
        <w:rPr>
          <w:snapToGrid w:val="0"/>
          <w:szCs w:val="24"/>
        </w:rPr>
      </w:pPr>
      <w:r w:rsidRPr="00365603">
        <w:rPr>
          <w:snapToGrid w:val="0"/>
          <w:kern w:val="1"/>
          <w:szCs w:val="24"/>
        </w:rPr>
        <w:t xml:space="preserve">Lorsque </w:t>
      </w:r>
      <w:r w:rsidRPr="00365603">
        <w:rPr>
          <w:b/>
          <w:i/>
          <w:snapToGrid w:val="0"/>
          <w:kern w:val="1"/>
          <w:szCs w:val="24"/>
        </w:rPr>
        <w:t>le groupe</w:t>
      </w:r>
      <w:r w:rsidRPr="00365603">
        <w:rPr>
          <w:snapToGrid w:val="0"/>
          <w:kern w:val="1"/>
          <w:szCs w:val="24"/>
        </w:rPr>
        <w:t xml:space="preserve"> n'applique pas de politique concernant l'une ou plusieurs de ces questions, la </w:t>
      </w:r>
      <w:r w:rsidRPr="00365603">
        <w:rPr>
          <w:b/>
          <w:i/>
          <w:snapToGrid w:val="0"/>
          <w:kern w:val="1"/>
          <w:szCs w:val="24"/>
        </w:rPr>
        <w:t>déclaration non financière consolidée comprend</w:t>
      </w:r>
      <w:r w:rsidRPr="00365603">
        <w:rPr>
          <w:snapToGrid w:val="0"/>
          <w:kern w:val="1"/>
          <w:szCs w:val="24"/>
        </w:rPr>
        <w:t xml:space="preserve"> une explication </w:t>
      </w:r>
      <w:r w:rsidRPr="00365603">
        <w:rPr>
          <w:b/>
          <w:i/>
          <w:snapToGrid w:val="0"/>
          <w:kern w:val="1"/>
          <w:szCs w:val="24"/>
        </w:rPr>
        <w:t>claire et motivée</w:t>
      </w:r>
      <w:r w:rsidRPr="00365603">
        <w:rPr>
          <w:snapToGrid w:val="0"/>
          <w:kern w:val="1"/>
          <w:szCs w:val="24"/>
        </w:rPr>
        <w:t xml:space="preserve"> à sujet. </w:t>
      </w:r>
    </w:p>
    <w:p w:rsidR="002022AB" w:rsidRPr="00365603" w:rsidRDefault="002022AB" w:rsidP="00075179">
      <w:pPr>
        <w:spacing w:before="120" w:after="120" w:line="360" w:lineRule="auto"/>
        <w:ind w:left="851"/>
        <w:rPr>
          <w:snapToGrid w:val="0"/>
          <w:kern w:val="1"/>
          <w:szCs w:val="24"/>
          <w:shd w:val="clear" w:color="auto" w:fill="FFFFFF"/>
        </w:rPr>
      </w:pPr>
      <w:r w:rsidRPr="00365603">
        <w:rPr>
          <w:b/>
          <w:i/>
          <w:snapToGrid w:val="0"/>
          <w:kern w:val="1"/>
          <w:szCs w:val="24"/>
          <w:shd w:val="clear" w:color="auto" w:fill="FFFFFF"/>
        </w:rPr>
        <w:br w:type="page"/>
        <w:t>La déclaration non financière consolidée visée au premier alinéa</w:t>
      </w:r>
      <w:r w:rsidRPr="00365603">
        <w:rPr>
          <w:snapToGrid w:val="0"/>
          <w:kern w:val="1"/>
          <w:szCs w:val="24"/>
          <w:shd w:val="clear" w:color="auto" w:fill="FFFFFF"/>
        </w:rPr>
        <w:t xml:space="preserve"> contient </w:t>
      </w:r>
      <w:r w:rsidRPr="00365603">
        <w:rPr>
          <w:b/>
          <w:i/>
          <w:snapToGrid w:val="0"/>
          <w:kern w:val="1"/>
          <w:szCs w:val="24"/>
          <w:shd w:val="clear" w:color="auto" w:fill="FFFFFF"/>
        </w:rPr>
        <w:t>également</w:t>
      </w:r>
      <w:r w:rsidRPr="00365603">
        <w:rPr>
          <w:snapToGrid w:val="0"/>
          <w:kern w:val="1"/>
          <w:szCs w:val="24"/>
          <w:shd w:val="clear" w:color="auto" w:fill="FFFFFF"/>
        </w:rPr>
        <w:t xml:space="preserve">, le cas échéant, des renvois aux montants indiqués dans les </w:t>
      </w:r>
      <w:r w:rsidRPr="00365603">
        <w:rPr>
          <w:b/>
          <w:i/>
          <w:snapToGrid w:val="0"/>
          <w:kern w:val="1"/>
          <w:szCs w:val="24"/>
          <w:shd w:val="clear" w:color="auto" w:fill="FFFFFF"/>
        </w:rPr>
        <w:t>états financiers</w:t>
      </w:r>
      <w:r w:rsidRPr="00365603">
        <w:rPr>
          <w:snapToGrid w:val="0"/>
          <w:kern w:val="1"/>
          <w:szCs w:val="24"/>
          <w:shd w:val="clear" w:color="auto" w:fill="FFFFFF"/>
        </w:rPr>
        <w:t xml:space="preserve"> consolidés et des explications supplémentaires y afférentes.</w:t>
      </w:r>
    </w:p>
    <w:p w:rsidR="002022AB" w:rsidRPr="00365603" w:rsidRDefault="002022AB" w:rsidP="00075179">
      <w:pPr>
        <w:spacing w:before="120" w:after="120" w:line="360" w:lineRule="auto"/>
        <w:ind w:left="851" w:hanging="567"/>
        <w:rPr>
          <w:b/>
          <w:i/>
          <w:strike/>
          <w:snapToGrid w:val="0"/>
          <w:kern w:val="1"/>
          <w:szCs w:val="24"/>
        </w:rPr>
      </w:pPr>
      <w:r w:rsidRPr="00365603">
        <w:rPr>
          <w:snapToGrid w:val="0"/>
          <w:kern w:val="1"/>
          <w:szCs w:val="24"/>
          <w:shd w:val="clear" w:color="auto" w:fill="FFFFFF"/>
        </w:rPr>
        <w:tab/>
      </w:r>
      <w:r w:rsidRPr="00365603">
        <w:rPr>
          <w:b/>
          <w:i/>
          <w:snapToGrid w:val="0"/>
          <w:szCs w:val="24"/>
        </w:rPr>
        <w:t>Les États membres peuvent autoriser que des informations portant sur les évolutions prochaines ou les affaires en cours de négociation ne soient pas communiquées dans des cas exceptionnels où, de l'avis dûment motivé des membres des organes d'administration, de gestion et de surveillance, agissant dans le cadre des compétences qui leur sont dévolues en vertu du droit national et au titre de la responsabilité collective quant à cette opinion, la divulgation desdites informations nuirait gravement à la position commerciale du groupe, à condition que cette omission ne fasse pas obstacle à une compréhension juste et équilibrée de l'évolution des affaires, des résultats et de la position du groupe, ainsi que des retombées de son activité.</w:t>
      </w:r>
    </w:p>
    <w:p w:rsidR="002022AB" w:rsidRPr="00365603" w:rsidRDefault="002022AB" w:rsidP="00075179">
      <w:pPr>
        <w:spacing w:before="120" w:after="120" w:line="360" w:lineRule="auto"/>
        <w:ind w:left="851"/>
        <w:rPr>
          <w:snapToGrid w:val="0"/>
          <w:kern w:val="1"/>
          <w:szCs w:val="24"/>
        </w:rPr>
      </w:pPr>
      <w:r w:rsidRPr="00365603">
        <w:rPr>
          <w:snapToGrid w:val="0"/>
          <w:kern w:val="1"/>
          <w:szCs w:val="24"/>
        </w:rPr>
        <w:br w:type="page"/>
        <w:t xml:space="preserve">Lorsque les États membres exigent la communication des informations </w:t>
      </w:r>
      <w:r w:rsidRPr="00365603">
        <w:rPr>
          <w:b/>
          <w:i/>
          <w:snapToGrid w:val="0"/>
          <w:kern w:val="1"/>
          <w:szCs w:val="24"/>
        </w:rPr>
        <w:t>visées au premier alinéa</w:t>
      </w:r>
      <w:r w:rsidRPr="00365603">
        <w:rPr>
          <w:snapToGrid w:val="0"/>
          <w:kern w:val="1"/>
          <w:szCs w:val="24"/>
        </w:rPr>
        <w:t xml:space="preserve">, </w:t>
      </w:r>
      <w:r w:rsidRPr="00365603">
        <w:rPr>
          <w:b/>
          <w:i/>
          <w:snapToGrid w:val="0"/>
          <w:kern w:val="1"/>
          <w:szCs w:val="24"/>
        </w:rPr>
        <w:t xml:space="preserve">ils prévoient que l'entreprise mère peut </w:t>
      </w:r>
      <w:r w:rsidRPr="00365603">
        <w:rPr>
          <w:snapToGrid w:val="0"/>
          <w:kern w:val="1"/>
          <w:szCs w:val="24"/>
        </w:rPr>
        <w:t xml:space="preserve">s'appuyer sur des cadres nationaux, de l'Union ou internationaux et l’entreprise mère indique, le cas échéant, sur quels cadres </w:t>
      </w:r>
      <w:r w:rsidRPr="00365603">
        <w:rPr>
          <w:b/>
          <w:i/>
          <w:snapToGrid w:val="0"/>
          <w:kern w:val="1"/>
          <w:szCs w:val="24"/>
        </w:rPr>
        <w:t>elle</w:t>
      </w:r>
      <w:r w:rsidRPr="00365603">
        <w:rPr>
          <w:snapToGrid w:val="0"/>
          <w:kern w:val="1"/>
          <w:szCs w:val="24"/>
        </w:rPr>
        <w:t xml:space="preserve"> s’est appuyée.</w:t>
      </w:r>
    </w:p>
    <w:p w:rsidR="002022AB" w:rsidRPr="00365603" w:rsidRDefault="002022AB" w:rsidP="00075179">
      <w:pPr>
        <w:spacing w:before="120" w:after="120" w:line="360" w:lineRule="auto"/>
        <w:ind w:left="851"/>
        <w:rPr>
          <w:snapToGrid w:val="0"/>
          <w:kern w:val="1"/>
          <w:szCs w:val="24"/>
        </w:rPr>
      </w:pPr>
      <w:r w:rsidRPr="00365603">
        <w:rPr>
          <w:snapToGrid w:val="0"/>
          <w:kern w:val="1"/>
          <w:szCs w:val="24"/>
        </w:rPr>
        <w:t>▌</w:t>
      </w:r>
    </w:p>
    <w:p w:rsidR="002022AB" w:rsidRPr="00365603" w:rsidRDefault="002022AB" w:rsidP="00075179">
      <w:pPr>
        <w:spacing w:before="120" w:after="120" w:line="360" w:lineRule="auto"/>
        <w:ind w:left="1418" w:hanging="567"/>
        <w:rPr>
          <w:i/>
          <w:snapToGrid w:val="0"/>
          <w:kern w:val="1"/>
          <w:szCs w:val="24"/>
        </w:rPr>
      </w:pPr>
      <w:r w:rsidRPr="00365603">
        <w:rPr>
          <w:b/>
          <w:i/>
          <w:snapToGrid w:val="0"/>
          <w:kern w:val="1"/>
          <w:szCs w:val="24"/>
        </w:rPr>
        <w:t>2.</w:t>
      </w:r>
      <w:r w:rsidRPr="00365603">
        <w:rPr>
          <w:b/>
          <w:i/>
          <w:snapToGrid w:val="0"/>
          <w:kern w:val="1"/>
          <w:szCs w:val="24"/>
        </w:rPr>
        <w:tab/>
        <w:t>Les entreprises mères qui s'acquittent de l'obligation énoncée au paragraphe 1 sont réputées avoir satisfait à l'obligation relative à l'analyse des informations non financières figurant à l'article 19, paragraphe 1, troisième alinéa, et à l'article 29.</w:t>
      </w:r>
      <w:r w:rsidRPr="00365603">
        <w:rPr>
          <w:i/>
          <w:snapToGrid w:val="0"/>
          <w:kern w:val="1"/>
          <w:szCs w:val="24"/>
        </w:rPr>
        <w:t xml:space="preserve"> </w:t>
      </w:r>
    </w:p>
    <w:p w:rsidR="002022AB" w:rsidRPr="00365603" w:rsidRDefault="002022AB" w:rsidP="00075179">
      <w:pPr>
        <w:spacing w:before="120" w:after="120" w:line="360" w:lineRule="auto"/>
        <w:ind w:left="1418" w:hanging="567"/>
        <w:rPr>
          <w:snapToGrid w:val="0"/>
          <w:kern w:val="1"/>
          <w:szCs w:val="24"/>
        </w:rPr>
      </w:pPr>
      <w:r w:rsidRPr="00365603">
        <w:rPr>
          <w:b/>
          <w:i/>
          <w:snapToGrid w:val="0"/>
          <w:kern w:val="1"/>
          <w:szCs w:val="24"/>
        </w:rPr>
        <w:t>3.</w:t>
      </w:r>
      <w:r w:rsidRPr="00365603">
        <w:rPr>
          <w:i/>
          <w:snapToGrid w:val="0"/>
          <w:kern w:val="1"/>
          <w:szCs w:val="24"/>
        </w:rPr>
        <w:t xml:space="preserve"> </w:t>
      </w:r>
      <w:r w:rsidRPr="00365603">
        <w:rPr>
          <w:snapToGrid w:val="0"/>
          <w:kern w:val="1"/>
          <w:szCs w:val="24"/>
        </w:rPr>
        <w:tab/>
        <w:t>Une entreprise</w:t>
      </w:r>
      <w:r w:rsidRPr="00365603">
        <w:rPr>
          <w:b/>
          <w:i/>
          <w:snapToGrid w:val="0"/>
          <w:kern w:val="1"/>
          <w:szCs w:val="24"/>
        </w:rPr>
        <w:t xml:space="preserve"> </w:t>
      </w:r>
      <w:r w:rsidRPr="00365603">
        <w:rPr>
          <w:snapToGrid w:val="0"/>
          <w:kern w:val="1"/>
          <w:szCs w:val="24"/>
        </w:rPr>
        <w:t xml:space="preserve">mère qui est également une filiale est exemptée de l'obligation énoncée au paragraphe 1 ▌si l’entreprise mère exemptée et ses filiales sont </w:t>
      </w:r>
      <w:r w:rsidRPr="00365603">
        <w:rPr>
          <w:b/>
          <w:i/>
          <w:snapToGrid w:val="0"/>
          <w:kern w:val="1"/>
          <w:szCs w:val="24"/>
        </w:rPr>
        <w:t xml:space="preserve">comprises </w:t>
      </w:r>
      <w:r w:rsidRPr="00365603">
        <w:rPr>
          <w:snapToGrid w:val="0"/>
          <w:kern w:val="1"/>
          <w:szCs w:val="24"/>
        </w:rPr>
        <w:t xml:space="preserve">dans ▌le rapport </w:t>
      </w:r>
      <w:r w:rsidRPr="00365603">
        <w:rPr>
          <w:b/>
          <w:i/>
          <w:snapToGrid w:val="0"/>
          <w:kern w:val="1"/>
          <w:szCs w:val="24"/>
        </w:rPr>
        <w:t xml:space="preserve">consolidé </w:t>
      </w:r>
      <w:r w:rsidRPr="00365603">
        <w:rPr>
          <w:snapToGrid w:val="0"/>
          <w:kern w:val="1"/>
          <w:szCs w:val="24"/>
        </w:rPr>
        <w:t xml:space="preserve">de gestion </w:t>
      </w:r>
      <w:r w:rsidRPr="00365603">
        <w:rPr>
          <w:b/>
          <w:i/>
          <w:snapToGrid w:val="0"/>
          <w:kern w:val="1"/>
          <w:szCs w:val="24"/>
        </w:rPr>
        <w:t xml:space="preserve">ou le rapport distinct </w:t>
      </w:r>
      <w:r w:rsidRPr="00365603">
        <w:rPr>
          <w:snapToGrid w:val="0"/>
          <w:kern w:val="1"/>
          <w:szCs w:val="24"/>
        </w:rPr>
        <w:t>d'une autre entreprise</w:t>
      </w:r>
      <w:r w:rsidRPr="00365603">
        <w:rPr>
          <w:b/>
          <w:i/>
          <w:snapToGrid w:val="0"/>
          <w:kern w:val="1"/>
          <w:szCs w:val="24"/>
        </w:rPr>
        <w:t xml:space="preserve">, </w:t>
      </w:r>
      <w:r w:rsidRPr="00365603">
        <w:rPr>
          <w:snapToGrid w:val="0"/>
          <w:kern w:val="1"/>
          <w:szCs w:val="24"/>
        </w:rPr>
        <w:t xml:space="preserve">établi conformément </w:t>
      </w:r>
      <w:r w:rsidRPr="00365603">
        <w:rPr>
          <w:b/>
          <w:i/>
          <w:snapToGrid w:val="0"/>
          <w:kern w:val="1"/>
          <w:szCs w:val="24"/>
        </w:rPr>
        <w:t>à l'article</w:t>
      </w:r>
      <w:r w:rsidRPr="00365603">
        <w:rPr>
          <w:snapToGrid w:val="0"/>
          <w:kern w:val="1"/>
          <w:szCs w:val="24"/>
        </w:rPr>
        <w:t> </w:t>
      </w:r>
      <w:r w:rsidRPr="00365603">
        <w:rPr>
          <w:b/>
          <w:i/>
          <w:snapToGrid w:val="0"/>
          <w:kern w:val="1"/>
          <w:szCs w:val="24"/>
        </w:rPr>
        <w:t>29</w:t>
      </w:r>
      <w:r w:rsidRPr="00365603">
        <w:rPr>
          <w:snapToGrid w:val="0"/>
          <w:kern w:val="1"/>
          <w:szCs w:val="24"/>
        </w:rPr>
        <w:t xml:space="preserve"> </w:t>
      </w:r>
      <w:r w:rsidRPr="00365603">
        <w:rPr>
          <w:b/>
          <w:i/>
          <w:snapToGrid w:val="0"/>
          <w:kern w:val="1"/>
          <w:szCs w:val="24"/>
        </w:rPr>
        <w:t>et au présent article</w:t>
      </w:r>
      <w:r w:rsidRPr="00365603">
        <w:rPr>
          <w:snapToGrid w:val="0"/>
          <w:kern w:val="1"/>
          <w:szCs w:val="24"/>
        </w:rPr>
        <w:t>.</w:t>
      </w:r>
    </w:p>
    <w:p w:rsidR="002022AB" w:rsidRPr="00365603" w:rsidRDefault="002022AB" w:rsidP="00075179">
      <w:pPr>
        <w:spacing w:before="120" w:after="120" w:line="360" w:lineRule="auto"/>
        <w:ind w:left="1418" w:hanging="567"/>
        <w:rPr>
          <w:snapToGrid w:val="0"/>
          <w:kern w:val="1"/>
          <w:szCs w:val="24"/>
        </w:rPr>
      </w:pPr>
      <w:r w:rsidRPr="00365603">
        <w:rPr>
          <w:snapToGrid w:val="0"/>
          <w:kern w:val="1"/>
          <w:szCs w:val="24"/>
        </w:rPr>
        <w:br w:type="page"/>
        <w:t>4.</w:t>
      </w:r>
      <w:r w:rsidRPr="00365603">
        <w:rPr>
          <w:snapToGrid w:val="0"/>
          <w:kern w:val="1"/>
          <w:szCs w:val="24"/>
        </w:rPr>
        <w:tab/>
        <w:t>Lorsqu'une entreprise mère</w:t>
      </w:r>
      <w:r w:rsidRPr="00365603">
        <w:rPr>
          <w:b/>
          <w:i/>
          <w:snapToGrid w:val="0"/>
          <w:kern w:val="1"/>
          <w:szCs w:val="24"/>
        </w:rPr>
        <w:t xml:space="preserve"> </w:t>
      </w:r>
      <w:r w:rsidRPr="00365603">
        <w:rPr>
          <w:snapToGrid w:val="0"/>
          <w:kern w:val="1"/>
          <w:szCs w:val="24"/>
        </w:rPr>
        <w:t xml:space="preserve">établit, en s'appuyant </w:t>
      </w:r>
      <w:r w:rsidRPr="00365603">
        <w:rPr>
          <w:b/>
          <w:i/>
          <w:snapToGrid w:val="0"/>
          <w:kern w:val="1"/>
          <w:szCs w:val="24"/>
        </w:rPr>
        <w:t xml:space="preserve">ou non </w:t>
      </w:r>
      <w:r w:rsidRPr="00365603">
        <w:rPr>
          <w:snapToGrid w:val="0"/>
          <w:kern w:val="1"/>
          <w:szCs w:val="24"/>
        </w:rPr>
        <w:t xml:space="preserve">sur des cadres nationaux, de l'Union ou internationaux, un rapport </w:t>
      </w:r>
      <w:r w:rsidRPr="00365603">
        <w:rPr>
          <w:b/>
          <w:i/>
          <w:snapToGrid w:val="0"/>
          <w:kern w:val="1"/>
          <w:szCs w:val="24"/>
        </w:rPr>
        <w:t>distinct</w:t>
      </w:r>
      <w:r w:rsidRPr="00365603">
        <w:rPr>
          <w:snapToGrid w:val="0"/>
          <w:kern w:val="1"/>
          <w:szCs w:val="24"/>
        </w:rPr>
        <w:t xml:space="preserve"> qui porte sur le même exercice et sur l'ensemble du groupe ▌, et qui couvre les informations </w:t>
      </w:r>
      <w:r w:rsidRPr="00365603">
        <w:rPr>
          <w:b/>
          <w:i/>
          <w:snapToGrid w:val="0"/>
          <w:kern w:val="1"/>
          <w:szCs w:val="24"/>
        </w:rPr>
        <w:t xml:space="preserve">requises pour la déclaration non financière consolidée </w:t>
      </w:r>
      <w:r w:rsidRPr="00365603">
        <w:rPr>
          <w:snapToGrid w:val="0"/>
          <w:kern w:val="1"/>
          <w:szCs w:val="24"/>
        </w:rPr>
        <w:t xml:space="preserve">prévues au paragraphe 1 ▌, </w:t>
      </w:r>
      <w:r w:rsidRPr="00365603">
        <w:rPr>
          <w:b/>
          <w:i/>
          <w:snapToGrid w:val="0"/>
          <w:kern w:val="1"/>
          <w:szCs w:val="24"/>
        </w:rPr>
        <w:t xml:space="preserve">les États membres peuvent exempter cette entreprise mère </w:t>
      </w:r>
      <w:r w:rsidRPr="00365603">
        <w:rPr>
          <w:snapToGrid w:val="0"/>
          <w:kern w:val="1"/>
          <w:szCs w:val="24"/>
        </w:rPr>
        <w:t xml:space="preserve">de l'obligation d'établir la déclaration non financière </w:t>
      </w:r>
      <w:r w:rsidRPr="00365603">
        <w:rPr>
          <w:b/>
          <w:i/>
          <w:snapToGrid w:val="0"/>
          <w:kern w:val="1"/>
          <w:szCs w:val="24"/>
        </w:rPr>
        <w:t>consolidée</w:t>
      </w:r>
      <w:r w:rsidRPr="00365603">
        <w:rPr>
          <w:b/>
          <w:snapToGrid w:val="0"/>
          <w:kern w:val="1"/>
          <w:szCs w:val="24"/>
        </w:rPr>
        <w:t xml:space="preserve"> </w:t>
      </w:r>
      <w:r w:rsidRPr="00365603">
        <w:rPr>
          <w:snapToGrid w:val="0"/>
          <w:kern w:val="1"/>
          <w:szCs w:val="24"/>
        </w:rPr>
        <w:t>prévue au paragraphe 1 ▌, pour autant que ce rapport distinct</w:t>
      </w:r>
      <w:r w:rsidRPr="00365603">
        <w:rPr>
          <w:b/>
          <w:i/>
          <w:snapToGrid w:val="0"/>
          <w:kern w:val="1"/>
          <w:szCs w:val="24"/>
        </w:rPr>
        <w:t>:</w:t>
      </w:r>
    </w:p>
    <w:p w:rsidR="002022AB" w:rsidRPr="00365603" w:rsidRDefault="002022AB" w:rsidP="00075179">
      <w:pPr>
        <w:spacing w:before="120" w:after="120" w:line="360" w:lineRule="auto"/>
        <w:ind w:left="1985" w:hanging="567"/>
        <w:rPr>
          <w:snapToGrid w:val="0"/>
          <w:szCs w:val="24"/>
        </w:rPr>
      </w:pPr>
      <w:r w:rsidRPr="00365603">
        <w:rPr>
          <w:b/>
          <w:i/>
          <w:snapToGrid w:val="0"/>
          <w:kern w:val="1"/>
          <w:szCs w:val="24"/>
        </w:rPr>
        <w:t>a)</w:t>
      </w:r>
      <w:r w:rsidRPr="00365603">
        <w:rPr>
          <w:b/>
          <w:i/>
          <w:snapToGrid w:val="0"/>
          <w:kern w:val="1"/>
          <w:szCs w:val="24"/>
        </w:rPr>
        <w:tab/>
        <w:t>soit publié en même temps que le rapport consolidé de gestion, conformément à l'article 30; ou</w:t>
      </w:r>
    </w:p>
    <w:p w:rsidR="002022AB" w:rsidRPr="00365603" w:rsidRDefault="002022AB" w:rsidP="00075179">
      <w:pPr>
        <w:spacing w:before="120" w:after="120" w:line="360" w:lineRule="auto"/>
        <w:ind w:left="1985" w:hanging="567"/>
        <w:rPr>
          <w:strike/>
          <w:snapToGrid w:val="0"/>
          <w:szCs w:val="24"/>
        </w:rPr>
      </w:pPr>
      <w:r w:rsidRPr="00365603">
        <w:rPr>
          <w:b/>
          <w:i/>
          <w:snapToGrid w:val="0"/>
          <w:kern w:val="1"/>
          <w:szCs w:val="24"/>
        </w:rPr>
        <w:t>b)</w:t>
      </w:r>
      <w:r w:rsidRPr="00365603">
        <w:rPr>
          <w:b/>
          <w:i/>
          <w:snapToGrid w:val="0"/>
          <w:kern w:val="1"/>
          <w:szCs w:val="24"/>
        </w:rPr>
        <w:tab/>
        <w:t xml:space="preserve">soit mis à la disposition du public dans un délai raisonnable, et au plus tard six mois après la date de clôture du bilan, sur le site web de l'entreprise mère, auquel il est fait référence dans le rapport consolidé de gestion. </w:t>
      </w:r>
    </w:p>
    <w:p w:rsidR="002022AB" w:rsidRPr="00365603" w:rsidRDefault="002022AB" w:rsidP="00075179">
      <w:pPr>
        <w:spacing w:before="120" w:after="120" w:line="360" w:lineRule="auto"/>
        <w:ind w:left="1418" w:hanging="567"/>
        <w:rPr>
          <w:b/>
          <w:i/>
          <w:snapToGrid w:val="0"/>
          <w:kern w:val="1"/>
          <w:szCs w:val="24"/>
          <w:shd w:val="clear" w:color="auto" w:fill="FFFFFF"/>
        </w:rPr>
      </w:pPr>
      <w:r w:rsidRPr="00365603">
        <w:rPr>
          <w:b/>
          <w:i/>
          <w:snapToGrid w:val="0"/>
          <w:kern w:val="1"/>
          <w:szCs w:val="24"/>
          <w:shd w:val="clear" w:color="auto" w:fill="FFFFFF"/>
        </w:rPr>
        <w:t>5.</w:t>
      </w:r>
      <w:r w:rsidRPr="00365603">
        <w:rPr>
          <w:b/>
          <w:i/>
          <w:snapToGrid w:val="0"/>
          <w:kern w:val="1"/>
          <w:szCs w:val="24"/>
          <w:shd w:val="clear" w:color="auto" w:fill="FFFFFF"/>
        </w:rPr>
        <w:tab/>
        <w:t>Les États membres veillent à ce que le contrôleur légal des comptes ou le cabinet d'audit vérifie que la déclaration non financière consolidée visée au paragraphe 1 ou le rapport distinct visé au paragraphe 4 ont  été fournis.</w:t>
      </w:r>
    </w:p>
    <w:p w:rsidR="002022AB" w:rsidRPr="00365603" w:rsidRDefault="002022AB" w:rsidP="00075179">
      <w:pPr>
        <w:spacing w:before="120" w:after="120" w:line="360" w:lineRule="auto"/>
        <w:ind w:left="1418" w:hanging="567"/>
        <w:rPr>
          <w:b/>
          <w:i/>
          <w:snapToGrid w:val="0"/>
          <w:kern w:val="1"/>
          <w:szCs w:val="24"/>
        </w:rPr>
      </w:pPr>
      <w:r w:rsidRPr="00365603">
        <w:rPr>
          <w:b/>
          <w:i/>
          <w:snapToGrid w:val="0"/>
          <w:kern w:val="1"/>
          <w:szCs w:val="24"/>
        </w:rPr>
        <w:br w:type="page"/>
        <w:t>6.</w:t>
      </w:r>
      <w:r w:rsidRPr="00365603">
        <w:rPr>
          <w:b/>
          <w:i/>
          <w:snapToGrid w:val="0"/>
          <w:kern w:val="1"/>
          <w:szCs w:val="24"/>
        </w:rPr>
        <w:tab/>
        <w:t>Les États membres peuvent exiger que les informations figurant dans la déclaration non financière consolidée visée au paragraphe 1 ou dans le rapport distinct visé au paragraphe 4 soient vérifiées par un prestataire de services d'assurance indépendant.</w:t>
      </w:r>
    </w:p>
    <w:p w:rsidR="002022AB" w:rsidRPr="00365603" w:rsidRDefault="002022AB" w:rsidP="00075179">
      <w:pPr>
        <w:spacing w:before="120" w:after="120" w:line="360" w:lineRule="auto"/>
        <w:ind w:left="1418" w:hanging="567"/>
        <w:rPr>
          <w:i/>
          <w:snapToGrid w:val="0"/>
          <w:szCs w:val="24"/>
        </w:rPr>
      </w:pPr>
      <w:r w:rsidRPr="00365603">
        <w:rPr>
          <w:b/>
          <w:i/>
          <w:snapToGrid w:val="0"/>
          <w:szCs w:val="24"/>
        </w:rPr>
        <w:t>7.</w:t>
      </w:r>
      <w:r w:rsidRPr="00365603">
        <w:rPr>
          <w:b/>
          <w:i/>
          <w:snapToGrid w:val="0"/>
          <w:szCs w:val="24"/>
        </w:rPr>
        <w:tab/>
        <w:t>Les États membres peuvent exempter les entreprises mères de groupes petits ou moyens de l'obligation prévue au paragraphe 1 pour ce qui est des informations de nature non financière.".</w:t>
      </w:r>
    </w:p>
    <w:p w:rsidR="002022AB" w:rsidRPr="00365603" w:rsidRDefault="002022AB" w:rsidP="00075179">
      <w:pPr>
        <w:spacing w:before="120" w:after="120" w:line="360" w:lineRule="auto"/>
        <w:ind w:left="851" w:hanging="851"/>
        <w:rPr>
          <w:b/>
          <w:i/>
          <w:snapToGrid w:val="0"/>
          <w:kern w:val="1"/>
          <w:szCs w:val="24"/>
        </w:rPr>
      </w:pPr>
      <w:r w:rsidRPr="00365603">
        <w:rPr>
          <w:b/>
          <w:i/>
          <w:snapToGrid w:val="0"/>
          <w:kern w:val="1"/>
          <w:szCs w:val="24"/>
        </w:rPr>
        <w:t>4)</w:t>
      </w:r>
      <w:r w:rsidRPr="00365603">
        <w:rPr>
          <w:b/>
          <w:i/>
          <w:snapToGrid w:val="0"/>
          <w:kern w:val="1"/>
          <w:szCs w:val="24"/>
        </w:rPr>
        <w:tab/>
        <w:t>L'article 33, paragraphe 1, est remplacé par le texte suivant:</w:t>
      </w:r>
    </w:p>
    <w:p w:rsidR="002022AB" w:rsidRPr="00365603" w:rsidRDefault="002022AB" w:rsidP="00075179">
      <w:pPr>
        <w:spacing w:before="120" w:after="120" w:line="360" w:lineRule="auto"/>
        <w:ind w:left="1418" w:hanging="567"/>
        <w:rPr>
          <w:b/>
          <w:i/>
          <w:snapToGrid w:val="0"/>
          <w:kern w:val="1"/>
          <w:szCs w:val="24"/>
        </w:rPr>
      </w:pPr>
      <w:r w:rsidRPr="00365603">
        <w:rPr>
          <w:b/>
          <w:i/>
          <w:snapToGrid w:val="0"/>
          <w:kern w:val="1"/>
          <w:szCs w:val="24"/>
        </w:rPr>
        <w:t>"1.</w:t>
      </w:r>
      <w:r w:rsidRPr="00365603">
        <w:rPr>
          <w:b/>
          <w:i/>
          <w:snapToGrid w:val="0"/>
          <w:kern w:val="1"/>
          <w:szCs w:val="24"/>
        </w:rPr>
        <w:tab/>
        <w:t>Les États membres s'assurent que les membres des organes d'administration, de gestion et de surveillance d'une entreprise, agissant dans le cadre des compétences qui leur sont conférées en vertu du droit national, aient la responsabilité collective de veiller à ce que:</w:t>
      </w:r>
    </w:p>
    <w:p w:rsidR="002022AB" w:rsidRPr="00365603" w:rsidRDefault="002022AB" w:rsidP="00075179">
      <w:pPr>
        <w:spacing w:before="120" w:after="120" w:line="360" w:lineRule="auto"/>
        <w:ind w:left="1985" w:hanging="567"/>
        <w:rPr>
          <w:snapToGrid w:val="0"/>
          <w:szCs w:val="24"/>
        </w:rPr>
      </w:pPr>
      <w:r w:rsidRPr="00365603">
        <w:rPr>
          <w:b/>
          <w:i/>
          <w:snapToGrid w:val="0"/>
          <w:kern w:val="1"/>
          <w:szCs w:val="24"/>
        </w:rPr>
        <w:br w:type="page"/>
        <w:t>a)</w:t>
      </w:r>
      <w:r w:rsidRPr="00365603">
        <w:rPr>
          <w:b/>
          <w:i/>
          <w:snapToGrid w:val="0"/>
          <w:kern w:val="1"/>
          <w:szCs w:val="24"/>
        </w:rPr>
        <w:tab/>
        <w:t xml:space="preserve">les états financiers annuels, le rapport de gestion et, lorsqu'elle fait l'objet d'une publication séparée, la déclaration sur le gouvernement d'entreprise, et le rapport visé à l'article 19 bis, paragraphe 4; et </w:t>
      </w:r>
    </w:p>
    <w:p w:rsidR="002022AB" w:rsidRPr="00365603" w:rsidRDefault="002022AB" w:rsidP="00075179">
      <w:pPr>
        <w:spacing w:before="120" w:after="120" w:line="360" w:lineRule="auto"/>
        <w:ind w:left="1985" w:hanging="567"/>
        <w:rPr>
          <w:snapToGrid w:val="0"/>
          <w:szCs w:val="24"/>
        </w:rPr>
      </w:pPr>
      <w:r w:rsidRPr="00365603">
        <w:rPr>
          <w:b/>
          <w:i/>
          <w:snapToGrid w:val="0"/>
          <w:kern w:val="1"/>
          <w:szCs w:val="24"/>
        </w:rPr>
        <w:t>b)</w:t>
      </w:r>
      <w:r w:rsidRPr="00365603">
        <w:rPr>
          <w:b/>
          <w:i/>
          <w:snapToGrid w:val="0"/>
          <w:kern w:val="1"/>
          <w:szCs w:val="24"/>
        </w:rPr>
        <w:tab/>
        <w:t xml:space="preserve">les états financiers consolidés, les rapports consolidés de gestion et, lorsqu'elle fait l'objet d'une publication séparée, la déclaration sur le gouvernement d'entreprise consolidée, et le rapport visé à l'article 29 bis, paragraphe 4; </w:t>
      </w:r>
    </w:p>
    <w:p w:rsidR="002022AB" w:rsidRPr="00365603" w:rsidRDefault="002022AB" w:rsidP="00075179">
      <w:pPr>
        <w:spacing w:before="120" w:after="120" w:line="360" w:lineRule="auto"/>
        <w:ind w:left="1418"/>
        <w:rPr>
          <w:b/>
          <w:i/>
          <w:snapToGrid w:val="0"/>
          <w:kern w:val="1"/>
          <w:szCs w:val="24"/>
        </w:rPr>
      </w:pPr>
      <w:r w:rsidRPr="00365603">
        <w:rPr>
          <w:b/>
          <w:i/>
          <w:snapToGrid w:val="0"/>
          <w:kern w:val="1"/>
          <w:szCs w:val="24"/>
        </w:rPr>
        <w:t>soient établis et publiés conformément aux exigences de la présente directive et, le cas échéant, aux normes comptables internationales adoptées conformément au règlement (CE) n° 1606/2002.".</w:t>
      </w:r>
    </w:p>
    <w:p w:rsidR="002022AB" w:rsidRPr="00365603" w:rsidRDefault="002022AB" w:rsidP="00075179">
      <w:pPr>
        <w:spacing w:before="120" w:after="120" w:line="360" w:lineRule="auto"/>
        <w:ind w:left="851" w:hanging="851"/>
        <w:rPr>
          <w:b/>
          <w:i/>
          <w:snapToGrid w:val="0"/>
          <w:kern w:val="1"/>
          <w:szCs w:val="24"/>
        </w:rPr>
      </w:pPr>
      <w:r w:rsidRPr="00365603">
        <w:rPr>
          <w:b/>
          <w:i/>
          <w:snapToGrid w:val="0"/>
          <w:kern w:val="1"/>
          <w:szCs w:val="24"/>
        </w:rPr>
        <w:t>5)</w:t>
      </w:r>
      <w:r w:rsidRPr="00365603">
        <w:rPr>
          <w:b/>
          <w:i/>
          <w:snapToGrid w:val="0"/>
          <w:kern w:val="1"/>
          <w:szCs w:val="24"/>
        </w:rPr>
        <w:tab/>
        <w:t>À l'article 34, le paragraphe suivant est ajouté:</w:t>
      </w:r>
    </w:p>
    <w:p w:rsidR="002022AB" w:rsidRPr="00365603" w:rsidRDefault="002022AB" w:rsidP="00075179">
      <w:pPr>
        <w:spacing w:before="120" w:after="120" w:line="360" w:lineRule="auto"/>
        <w:ind w:left="1418" w:hanging="567"/>
        <w:rPr>
          <w:b/>
          <w:i/>
          <w:snapToGrid w:val="0"/>
          <w:kern w:val="1"/>
          <w:szCs w:val="24"/>
        </w:rPr>
      </w:pPr>
      <w:r w:rsidRPr="00365603">
        <w:rPr>
          <w:b/>
          <w:i/>
          <w:snapToGrid w:val="0"/>
          <w:kern w:val="1"/>
          <w:szCs w:val="24"/>
        </w:rPr>
        <w:t>"3.</w:t>
      </w:r>
      <w:r w:rsidRPr="00365603">
        <w:rPr>
          <w:b/>
          <w:i/>
          <w:snapToGrid w:val="0"/>
          <w:kern w:val="1"/>
          <w:szCs w:val="24"/>
        </w:rPr>
        <w:tab/>
        <w:t>Le présent article ne s'applique ni à la déclaration non financière visée à l'article 19 bis, paragraphe 1, ni à la déclaration non financière consolidée visée à l'article 29 bis, paragraphe 1, ni aux rapports distincts visés aux articles 19 bis, paragraphe 4, et 29 bis, paragraphe 4.".</w:t>
      </w:r>
    </w:p>
    <w:p w:rsidR="002022AB" w:rsidRPr="00365603" w:rsidRDefault="002022AB" w:rsidP="00075179">
      <w:pPr>
        <w:spacing w:before="120" w:after="120" w:line="360" w:lineRule="auto"/>
        <w:ind w:left="851" w:hanging="851"/>
        <w:rPr>
          <w:b/>
          <w:i/>
          <w:snapToGrid w:val="0"/>
          <w:kern w:val="1"/>
          <w:szCs w:val="24"/>
          <w:shd w:val="clear" w:color="auto" w:fill="C0C0C0"/>
        </w:rPr>
      </w:pPr>
      <w:r w:rsidRPr="00365603">
        <w:rPr>
          <w:b/>
          <w:snapToGrid w:val="0"/>
          <w:kern w:val="1"/>
          <w:szCs w:val="24"/>
          <w:u w:val="single"/>
        </w:rPr>
        <w:br w:type="page"/>
      </w:r>
      <w:r w:rsidRPr="00365603">
        <w:rPr>
          <w:b/>
          <w:i/>
          <w:snapToGrid w:val="0"/>
          <w:kern w:val="1"/>
          <w:szCs w:val="24"/>
          <w:shd w:val="clear" w:color="auto" w:fill="FFFFFF"/>
        </w:rPr>
        <w:t>6)</w:t>
      </w:r>
      <w:r w:rsidRPr="00365603">
        <w:rPr>
          <w:b/>
          <w:i/>
          <w:snapToGrid w:val="0"/>
          <w:kern w:val="1"/>
          <w:szCs w:val="24"/>
          <w:shd w:val="clear" w:color="auto" w:fill="FFFFFF"/>
        </w:rPr>
        <w:tab/>
        <w:t>À l'article 48, le paragraphe suivant est inséré avant le dernier paragraphe:</w:t>
      </w:r>
    </w:p>
    <w:p w:rsidR="002022AB" w:rsidRPr="00365603" w:rsidRDefault="002022AB" w:rsidP="00075179">
      <w:pPr>
        <w:shd w:val="clear" w:color="auto" w:fill="FFFFFF"/>
        <w:spacing w:before="120" w:after="120" w:line="360" w:lineRule="auto"/>
        <w:ind w:left="851"/>
        <w:rPr>
          <w:b/>
          <w:i/>
          <w:snapToGrid w:val="0"/>
          <w:kern w:val="1"/>
          <w:szCs w:val="24"/>
          <w:shd w:val="clear" w:color="auto" w:fill="FFFFFF"/>
        </w:rPr>
      </w:pPr>
      <w:r w:rsidRPr="00365603">
        <w:rPr>
          <w:b/>
          <w:i/>
          <w:snapToGrid w:val="0"/>
          <w:szCs w:val="24"/>
        </w:rPr>
        <w:t>"Le rapport examine également, compte tenu des évolutions au sein de l'OCDE et des résultats des initiatives européennes connexes, la possibilité d'instaurer l'obligation, pour les grandes entreprises, d’élaborer, tous les ans, un rapport par pays concernant chaque État membre et chaque pays tiers dans lesquels elles exercent leurs activités, qui contienne des informations portant, à tout le moins, sur les bénéfices dégagés, les impôts payés sur les bénéfices et sur les aides publiques perçues.".</w:t>
      </w:r>
    </w:p>
    <w:p w:rsidR="002022AB" w:rsidRPr="00365603" w:rsidRDefault="002022AB" w:rsidP="00075179">
      <w:pPr>
        <w:spacing w:before="120" w:after="120" w:line="360" w:lineRule="auto"/>
        <w:jc w:val="center"/>
        <w:rPr>
          <w:snapToGrid w:val="0"/>
          <w:szCs w:val="24"/>
        </w:rPr>
      </w:pPr>
      <w:r w:rsidRPr="00365603">
        <w:rPr>
          <w:b/>
          <w:i/>
          <w:snapToGrid w:val="0"/>
          <w:kern w:val="1"/>
          <w:szCs w:val="24"/>
          <w:shd w:val="clear" w:color="auto" w:fill="FFFFFF"/>
        </w:rPr>
        <w:t xml:space="preserve">Article 2 </w:t>
      </w:r>
      <w:r w:rsidRPr="00365603">
        <w:rPr>
          <w:b/>
          <w:i/>
          <w:snapToGrid w:val="0"/>
          <w:kern w:val="1"/>
          <w:szCs w:val="24"/>
          <w:shd w:val="clear" w:color="auto" w:fill="FFFFFF"/>
        </w:rPr>
        <w:br/>
        <w:t xml:space="preserve">Orientation concernant la communication d'informations </w:t>
      </w:r>
    </w:p>
    <w:p w:rsidR="002022AB" w:rsidRPr="00365603" w:rsidRDefault="002022AB" w:rsidP="00075179">
      <w:pPr>
        <w:spacing w:before="120" w:after="120" w:line="360" w:lineRule="auto"/>
        <w:rPr>
          <w:snapToGrid w:val="0"/>
          <w:szCs w:val="24"/>
        </w:rPr>
      </w:pPr>
      <w:r w:rsidRPr="00365603">
        <w:rPr>
          <w:b/>
          <w:i/>
          <w:snapToGrid w:val="0"/>
          <w:szCs w:val="24"/>
        </w:rPr>
        <w:t xml:space="preserve">La Commission élabore des lignes directrices non contraignantes sur la méthodologie applicable à la communication des informations non financières, y compris des indicateurs clés de performance de nature non financière, à caractère général et sectoriel, en vue de faciliter la divulgation appropriée, utile et comparable des informations non financières par les entreprises de l'Union. Durant ce processus, la Commission consulte les acteurs concernés. </w:t>
      </w:r>
    </w:p>
    <w:p w:rsidR="002022AB" w:rsidRPr="00365603" w:rsidRDefault="002022AB" w:rsidP="00075179">
      <w:pPr>
        <w:spacing w:before="120" w:after="120" w:line="360" w:lineRule="auto"/>
        <w:rPr>
          <w:i/>
          <w:snapToGrid w:val="0"/>
          <w:kern w:val="1"/>
          <w:szCs w:val="24"/>
        </w:rPr>
      </w:pPr>
      <w:r w:rsidRPr="00365603">
        <w:rPr>
          <w:b/>
          <w:i/>
          <w:snapToGrid w:val="0"/>
          <w:szCs w:val="24"/>
        </w:rPr>
        <w:br w:type="page"/>
        <w:t>La Commission publie les lignes directrices au plus tard 24 mois à compter de l'entrée en vigueur de la présente directive.</w:t>
      </w:r>
    </w:p>
    <w:p w:rsidR="002022AB" w:rsidRPr="00365603" w:rsidRDefault="002022AB" w:rsidP="00075179">
      <w:pPr>
        <w:spacing w:before="120" w:after="120" w:line="360" w:lineRule="auto"/>
        <w:jc w:val="center"/>
        <w:rPr>
          <w:snapToGrid w:val="0"/>
          <w:szCs w:val="24"/>
        </w:rPr>
      </w:pPr>
      <w:r w:rsidRPr="00365603">
        <w:rPr>
          <w:b/>
          <w:i/>
          <w:snapToGrid w:val="0"/>
          <w:kern w:val="1"/>
          <w:szCs w:val="24"/>
          <w:shd w:val="clear" w:color="auto" w:fill="FFFFFF"/>
        </w:rPr>
        <w:t>Article 3</w:t>
      </w:r>
      <w:r w:rsidRPr="00365603">
        <w:rPr>
          <w:b/>
          <w:i/>
          <w:snapToGrid w:val="0"/>
          <w:kern w:val="1"/>
          <w:szCs w:val="24"/>
          <w:shd w:val="clear" w:color="auto" w:fill="FFFFFF"/>
        </w:rPr>
        <w:br/>
        <w:t xml:space="preserve">Réexamen  </w:t>
      </w:r>
    </w:p>
    <w:p w:rsidR="002022AB" w:rsidRPr="00365603" w:rsidRDefault="002022AB" w:rsidP="00075179">
      <w:pPr>
        <w:spacing w:before="120" w:after="120" w:line="360" w:lineRule="auto"/>
        <w:rPr>
          <w:snapToGrid w:val="0"/>
          <w:szCs w:val="24"/>
        </w:rPr>
      </w:pPr>
      <w:r w:rsidRPr="00365603">
        <w:rPr>
          <w:b/>
          <w:i/>
          <w:snapToGrid w:val="0"/>
          <w:kern w:val="1"/>
          <w:szCs w:val="24"/>
          <w:shd w:val="clear" w:color="auto" w:fill="FFFFFF"/>
        </w:rPr>
        <w:t>La Commission présente un rapport au Parlement européen et au Conseil sur la mise en œuvre de la présente directive, qui porte, entre autres aspects, sur son champ d'application, pour ce qui est notamment des grandes entreprises non cotées, son efficacité, ainsi que l'étendue de l'orientation fournie et des méthodes disponibles. Le rapport est publié au plus tard quatre ans après l'entrée en vigueur de la présente directive, et  est assorti, le cas échéant, de propositions législatives.</w:t>
      </w:r>
    </w:p>
    <w:p w:rsidR="002022AB" w:rsidRPr="00365603" w:rsidRDefault="002022AB" w:rsidP="00075179">
      <w:pPr>
        <w:spacing w:before="120" w:after="120" w:line="360" w:lineRule="auto"/>
        <w:jc w:val="center"/>
        <w:rPr>
          <w:i/>
          <w:snapToGrid w:val="0"/>
          <w:kern w:val="1"/>
          <w:szCs w:val="24"/>
        </w:rPr>
      </w:pPr>
      <w:r w:rsidRPr="00365603">
        <w:rPr>
          <w:snapToGrid w:val="0"/>
          <w:kern w:val="1"/>
          <w:szCs w:val="24"/>
        </w:rPr>
        <w:t>Article</w:t>
      </w:r>
      <w:r w:rsidRPr="00365603">
        <w:rPr>
          <w:i/>
          <w:snapToGrid w:val="0"/>
          <w:kern w:val="1"/>
          <w:szCs w:val="24"/>
        </w:rPr>
        <w:t xml:space="preserve"> </w:t>
      </w:r>
      <w:r w:rsidRPr="00365603">
        <w:rPr>
          <w:b/>
          <w:i/>
          <w:snapToGrid w:val="0"/>
          <w:kern w:val="1"/>
          <w:szCs w:val="24"/>
        </w:rPr>
        <w:t xml:space="preserve">4 </w:t>
      </w:r>
      <w:r w:rsidRPr="00365603">
        <w:rPr>
          <w:b/>
          <w:i/>
          <w:strike/>
          <w:snapToGrid w:val="0"/>
          <w:kern w:val="1"/>
          <w:szCs w:val="24"/>
        </w:rPr>
        <w:br/>
      </w:r>
      <w:r w:rsidRPr="00365603">
        <w:rPr>
          <w:snapToGrid w:val="0"/>
          <w:kern w:val="1"/>
          <w:szCs w:val="24"/>
        </w:rPr>
        <w:t>Transposition</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1.</w:t>
      </w:r>
      <w:r w:rsidRPr="00365603">
        <w:rPr>
          <w:snapToGrid w:val="0"/>
          <w:kern w:val="1"/>
          <w:szCs w:val="24"/>
        </w:rPr>
        <w:tab/>
        <w:t>Les États membres mettent en vigueur les dispositions législatives, réglementaires et administratives nécessaires pour se conformer à la présente directive au plus tard le […]</w:t>
      </w:r>
      <w:r w:rsidRPr="00365603">
        <w:rPr>
          <w:b/>
          <w:snapToGrid w:val="0"/>
          <w:kern w:val="1"/>
          <w:szCs w:val="24"/>
          <w:vertAlign w:val="superscript"/>
        </w:rPr>
        <w:footnoteReference w:id="89"/>
      </w:r>
      <w:r w:rsidRPr="00365603">
        <w:rPr>
          <w:snapToGrid w:val="0"/>
          <w:kern w:val="1"/>
          <w:szCs w:val="24"/>
        </w:rPr>
        <w:t>. Ils en informent immédiatement la Commission.</w:t>
      </w:r>
    </w:p>
    <w:p w:rsidR="002022AB" w:rsidRPr="00365603" w:rsidRDefault="002022AB" w:rsidP="00075179">
      <w:pPr>
        <w:shd w:val="clear" w:color="auto" w:fill="FFFFFF"/>
        <w:spacing w:before="120" w:after="120" w:line="360" w:lineRule="auto"/>
        <w:ind w:left="851"/>
        <w:rPr>
          <w:snapToGrid w:val="0"/>
          <w:kern w:val="1"/>
          <w:szCs w:val="24"/>
        </w:rPr>
      </w:pPr>
      <w:r w:rsidRPr="00365603">
        <w:rPr>
          <w:snapToGrid w:val="0"/>
          <w:kern w:val="1"/>
          <w:szCs w:val="24"/>
        </w:rPr>
        <w:br w:type="page"/>
        <w:t xml:space="preserve">Les États membres </w:t>
      </w:r>
      <w:r w:rsidRPr="00365603">
        <w:rPr>
          <w:b/>
          <w:i/>
          <w:snapToGrid w:val="0"/>
          <w:kern w:val="1"/>
          <w:szCs w:val="24"/>
        </w:rPr>
        <w:t xml:space="preserve">prévoient </w:t>
      </w:r>
      <w:r w:rsidRPr="00365603">
        <w:rPr>
          <w:snapToGrid w:val="0"/>
          <w:kern w:val="1"/>
          <w:szCs w:val="24"/>
        </w:rPr>
        <w:t xml:space="preserve">que les dispositions visées au premier alinéa </w:t>
      </w:r>
      <w:r w:rsidRPr="00365603">
        <w:rPr>
          <w:b/>
          <w:i/>
          <w:snapToGrid w:val="0"/>
          <w:kern w:val="1"/>
          <w:szCs w:val="24"/>
        </w:rPr>
        <w:t>s'appliquent</w:t>
      </w:r>
      <w:r w:rsidRPr="00365603">
        <w:rPr>
          <w:snapToGrid w:val="0"/>
          <w:kern w:val="1"/>
          <w:szCs w:val="24"/>
        </w:rPr>
        <w:t>, à compter de l'exercice débutant le 1</w:t>
      </w:r>
      <w:r w:rsidRPr="00365603">
        <w:rPr>
          <w:snapToGrid w:val="0"/>
          <w:kern w:val="1"/>
          <w:szCs w:val="24"/>
          <w:vertAlign w:val="superscript"/>
        </w:rPr>
        <w:t>er</w:t>
      </w:r>
      <w:r w:rsidRPr="00365603">
        <w:rPr>
          <w:snapToGrid w:val="0"/>
          <w:kern w:val="1"/>
          <w:szCs w:val="24"/>
        </w:rPr>
        <w:t xml:space="preserve"> janvier 201_</w:t>
      </w:r>
      <w:r w:rsidRPr="00365603">
        <w:rPr>
          <w:snapToGrid w:val="0"/>
          <w:kern w:val="1"/>
          <w:szCs w:val="24"/>
          <w:vertAlign w:val="superscript"/>
        </w:rPr>
        <w:footnoteReference w:id="90"/>
      </w:r>
      <w:r w:rsidRPr="00365603">
        <w:rPr>
          <w:snapToGrid w:val="0"/>
          <w:kern w:val="1"/>
          <w:szCs w:val="24"/>
        </w:rPr>
        <w:t xml:space="preserve"> </w:t>
      </w:r>
      <w:r w:rsidRPr="00365603">
        <w:rPr>
          <w:b/>
          <w:i/>
          <w:snapToGrid w:val="0"/>
          <w:kern w:val="1"/>
          <w:szCs w:val="24"/>
        </w:rPr>
        <w:t>ou dans le courant de l'année 201_</w:t>
      </w:r>
      <w:r w:rsidRPr="00365603">
        <w:rPr>
          <w:b/>
          <w:i/>
          <w:snapToGrid w:val="0"/>
          <w:kern w:val="1"/>
          <w:szCs w:val="24"/>
          <w:vertAlign w:val="superscript"/>
        </w:rPr>
        <w:footnoteReference w:id="91"/>
      </w:r>
      <w:r w:rsidRPr="00365603">
        <w:rPr>
          <w:snapToGrid w:val="0"/>
          <w:kern w:val="1"/>
          <w:szCs w:val="24"/>
          <w:shd w:val="clear" w:color="auto" w:fill="FFFFFF"/>
        </w:rPr>
        <w:t>,</w:t>
      </w:r>
      <w:r w:rsidRPr="00365603">
        <w:rPr>
          <w:b/>
          <w:i/>
          <w:snapToGrid w:val="0"/>
          <w:kern w:val="1"/>
          <w:szCs w:val="24"/>
          <w:shd w:val="clear" w:color="auto" w:fill="FFFFFF"/>
        </w:rPr>
        <w:t xml:space="preserve"> ▌</w:t>
      </w:r>
      <w:r w:rsidRPr="00365603">
        <w:rPr>
          <w:snapToGrid w:val="0"/>
          <w:kern w:val="1"/>
          <w:szCs w:val="24"/>
          <w:shd w:val="clear" w:color="auto" w:fill="FFFFFF"/>
        </w:rPr>
        <w:t xml:space="preserve">à toutes les ▌entreprises relevant du champ d’application  </w:t>
      </w:r>
      <w:r w:rsidRPr="00365603">
        <w:rPr>
          <w:b/>
          <w:i/>
          <w:snapToGrid w:val="0"/>
          <w:kern w:val="1"/>
          <w:szCs w:val="24"/>
          <w:shd w:val="clear" w:color="auto" w:fill="FFFFFF"/>
        </w:rPr>
        <w:t>de l'article</w:t>
      </w:r>
      <w:r w:rsidRPr="00365603">
        <w:rPr>
          <w:snapToGrid w:val="0"/>
          <w:kern w:val="1"/>
          <w:szCs w:val="24"/>
          <w:shd w:val="clear" w:color="auto" w:fill="FFFFFF"/>
        </w:rPr>
        <w:t xml:space="preserve"> 1</w:t>
      </w:r>
      <w:r w:rsidRPr="00365603">
        <w:rPr>
          <w:snapToGrid w:val="0"/>
          <w:kern w:val="1"/>
          <w:szCs w:val="24"/>
          <w:shd w:val="clear" w:color="auto" w:fill="FFFFFF"/>
          <w:vertAlign w:val="superscript"/>
        </w:rPr>
        <w:t>er</w:t>
      </w:r>
      <w:r w:rsidRPr="00365603">
        <w:rPr>
          <w:snapToGrid w:val="0"/>
          <w:kern w:val="1"/>
          <w:szCs w:val="24"/>
          <w:shd w:val="clear" w:color="auto" w:fill="FFFFFF"/>
        </w:rPr>
        <w:t xml:space="preserve"> ▌.</w:t>
      </w:r>
    </w:p>
    <w:p w:rsidR="002022AB" w:rsidRPr="00365603" w:rsidRDefault="002022AB" w:rsidP="00075179">
      <w:pPr>
        <w:shd w:val="clear" w:color="auto" w:fill="FFFFFF"/>
        <w:spacing w:before="120" w:after="120" w:line="360" w:lineRule="auto"/>
        <w:ind w:left="851"/>
        <w:rPr>
          <w:snapToGrid w:val="0"/>
          <w:kern w:val="1"/>
          <w:szCs w:val="24"/>
        </w:rPr>
      </w:pPr>
      <w:r w:rsidRPr="00365603">
        <w:rPr>
          <w:snapToGrid w:val="0"/>
          <w:kern w:val="1"/>
          <w:szCs w:val="24"/>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2022AB" w:rsidRPr="00365603" w:rsidRDefault="002022AB" w:rsidP="00075179">
      <w:pPr>
        <w:spacing w:before="120" w:after="120" w:line="360" w:lineRule="auto"/>
        <w:ind w:left="851" w:hanging="851"/>
        <w:rPr>
          <w:snapToGrid w:val="0"/>
          <w:kern w:val="1"/>
          <w:szCs w:val="24"/>
        </w:rPr>
      </w:pPr>
      <w:r w:rsidRPr="00365603">
        <w:rPr>
          <w:snapToGrid w:val="0"/>
          <w:kern w:val="1"/>
          <w:szCs w:val="24"/>
        </w:rPr>
        <w:t>2.</w:t>
      </w:r>
      <w:r w:rsidRPr="00365603">
        <w:rPr>
          <w:snapToGrid w:val="0"/>
          <w:kern w:val="1"/>
          <w:szCs w:val="24"/>
        </w:rPr>
        <w:tab/>
        <w:t>Les États membres communiquent à la Commission le texte des dispositions essentielles de droit interne qu'ils adoptent dans le domaine couvert par la présente directive..</w:t>
      </w:r>
    </w:p>
    <w:p w:rsidR="002022AB" w:rsidRPr="00365603" w:rsidRDefault="002022AB" w:rsidP="00075179">
      <w:pPr>
        <w:spacing w:before="120" w:after="120" w:line="360" w:lineRule="auto"/>
        <w:jc w:val="center"/>
        <w:rPr>
          <w:i/>
          <w:snapToGrid w:val="0"/>
          <w:kern w:val="1"/>
          <w:szCs w:val="24"/>
        </w:rPr>
      </w:pPr>
      <w:r w:rsidRPr="00365603">
        <w:rPr>
          <w:snapToGrid w:val="0"/>
          <w:kern w:val="1"/>
          <w:szCs w:val="24"/>
        </w:rPr>
        <w:t>Article</w:t>
      </w:r>
      <w:r w:rsidRPr="00365603">
        <w:rPr>
          <w:i/>
          <w:snapToGrid w:val="0"/>
          <w:kern w:val="1"/>
          <w:szCs w:val="24"/>
        </w:rPr>
        <w:t xml:space="preserve"> </w:t>
      </w:r>
      <w:r w:rsidRPr="00365603">
        <w:rPr>
          <w:b/>
          <w:i/>
          <w:snapToGrid w:val="0"/>
          <w:kern w:val="1"/>
          <w:szCs w:val="24"/>
        </w:rPr>
        <w:t xml:space="preserve">5 </w:t>
      </w:r>
      <w:r w:rsidRPr="00365603">
        <w:rPr>
          <w:b/>
          <w:i/>
          <w:dstrike/>
          <w:snapToGrid w:val="0"/>
          <w:kern w:val="1"/>
          <w:szCs w:val="24"/>
        </w:rPr>
        <w:br/>
      </w:r>
      <w:r w:rsidRPr="00365603">
        <w:rPr>
          <w:snapToGrid w:val="0"/>
          <w:kern w:val="1"/>
          <w:szCs w:val="24"/>
        </w:rPr>
        <w:t>Entrée en vigueur</w:t>
      </w:r>
    </w:p>
    <w:p w:rsidR="002022AB" w:rsidRPr="00365603" w:rsidRDefault="002022AB" w:rsidP="00075179">
      <w:pPr>
        <w:spacing w:before="120" w:after="120" w:line="360" w:lineRule="auto"/>
        <w:rPr>
          <w:snapToGrid w:val="0"/>
          <w:kern w:val="1"/>
          <w:szCs w:val="24"/>
        </w:rPr>
      </w:pPr>
      <w:r w:rsidRPr="00365603">
        <w:rPr>
          <w:snapToGrid w:val="0"/>
          <w:kern w:val="1"/>
          <w:szCs w:val="24"/>
        </w:rPr>
        <w:t xml:space="preserve">La présente directive entre en vigueur le vingtième jour suivant celui de sa publication au </w:t>
      </w:r>
      <w:r w:rsidRPr="00365603">
        <w:rPr>
          <w:i/>
          <w:snapToGrid w:val="0"/>
          <w:kern w:val="1"/>
          <w:szCs w:val="24"/>
        </w:rPr>
        <w:t>Journal officiel de l'Union européenne</w:t>
      </w:r>
      <w:r w:rsidRPr="00365603">
        <w:rPr>
          <w:snapToGrid w:val="0"/>
          <w:kern w:val="1"/>
          <w:szCs w:val="24"/>
        </w:rPr>
        <w:t>.</w:t>
      </w:r>
    </w:p>
    <w:p w:rsidR="002022AB" w:rsidRPr="00365603" w:rsidRDefault="002022AB" w:rsidP="00075179">
      <w:pPr>
        <w:spacing w:before="120" w:after="120" w:line="360" w:lineRule="auto"/>
        <w:jc w:val="center"/>
        <w:rPr>
          <w:i/>
          <w:snapToGrid w:val="0"/>
          <w:kern w:val="1"/>
          <w:szCs w:val="24"/>
        </w:rPr>
      </w:pPr>
      <w:r w:rsidRPr="00365603">
        <w:rPr>
          <w:i/>
          <w:snapToGrid w:val="0"/>
          <w:kern w:val="1"/>
          <w:szCs w:val="24"/>
        </w:rPr>
        <w:br w:type="page"/>
        <w:t xml:space="preserve">Article </w:t>
      </w:r>
      <w:r w:rsidRPr="00365603">
        <w:rPr>
          <w:b/>
          <w:i/>
          <w:snapToGrid w:val="0"/>
          <w:kern w:val="1"/>
          <w:szCs w:val="24"/>
        </w:rPr>
        <w:t>6</w:t>
      </w:r>
      <w:r w:rsidRPr="00365603">
        <w:rPr>
          <w:b/>
          <w:i/>
          <w:snapToGrid w:val="0"/>
          <w:kern w:val="1"/>
          <w:szCs w:val="24"/>
        </w:rPr>
        <w:br/>
      </w:r>
      <w:r w:rsidRPr="00365603">
        <w:rPr>
          <w:i/>
          <w:snapToGrid w:val="0"/>
          <w:kern w:val="1"/>
          <w:szCs w:val="24"/>
        </w:rPr>
        <w:t>Destinataires</w:t>
      </w:r>
    </w:p>
    <w:p w:rsidR="002022AB" w:rsidRPr="00365603" w:rsidRDefault="002022AB" w:rsidP="00075179">
      <w:pPr>
        <w:spacing w:before="120" w:after="120" w:line="360" w:lineRule="auto"/>
        <w:rPr>
          <w:snapToGrid w:val="0"/>
          <w:kern w:val="1"/>
          <w:szCs w:val="24"/>
        </w:rPr>
      </w:pPr>
      <w:r w:rsidRPr="00365603">
        <w:rPr>
          <w:snapToGrid w:val="0"/>
          <w:kern w:val="1"/>
          <w:szCs w:val="24"/>
        </w:rPr>
        <w:t>Les États membres sont destinataires de la présente directive.</w:t>
      </w:r>
    </w:p>
    <w:p w:rsidR="002022AB" w:rsidRPr="00365603" w:rsidRDefault="002022AB" w:rsidP="00075179">
      <w:pPr>
        <w:spacing w:before="120" w:after="120" w:line="360" w:lineRule="auto"/>
        <w:rPr>
          <w:snapToGrid w:val="0"/>
          <w:kern w:val="1"/>
          <w:szCs w:val="24"/>
        </w:rPr>
      </w:pPr>
      <w:r w:rsidRPr="00365603">
        <w:rPr>
          <w:snapToGrid w:val="0"/>
          <w:kern w:val="1"/>
          <w:szCs w:val="24"/>
        </w:rPr>
        <w:t>Fait à ,</w:t>
      </w:r>
    </w:p>
    <w:p w:rsidR="002022AB" w:rsidRPr="00365603" w:rsidRDefault="002022AB" w:rsidP="00075179">
      <w:pPr>
        <w:spacing w:before="120" w:after="120" w:line="360" w:lineRule="auto"/>
        <w:rPr>
          <w:snapToGrid w:val="0"/>
          <w:kern w:val="1"/>
          <w:szCs w:val="24"/>
        </w:rPr>
      </w:pPr>
    </w:p>
    <w:p w:rsidR="002022AB" w:rsidRPr="00365603" w:rsidRDefault="002022AB" w:rsidP="00075179">
      <w:pPr>
        <w:spacing w:before="120" w:after="120" w:line="360" w:lineRule="auto"/>
        <w:rPr>
          <w:snapToGrid w:val="0"/>
          <w:kern w:val="1"/>
          <w:szCs w:val="24"/>
        </w:rPr>
      </w:pPr>
    </w:p>
    <w:p w:rsidR="002022AB" w:rsidRPr="00365603" w:rsidRDefault="002022AB" w:rsidP="00075179">
      <w:pPr>
        <w:tabs>
          <w:tab w:val="left" w:pos="4252"/>
        </w:tabs>
        <w:spacing w:before="120" w:after="120" w:line="360" w:lineRule="auto"/>
        <w:rPr>
          <w:i/>
          <w:snapToGrid w:val="0"/>
          <w:kern w:val="1"/>
          <w:szCs w:val="24"/>
        </w:rPr>
      </w:pPr>
      <w:r w:rsidRPr="00365603">
        <w:rPr>
          <w:i/>
          <w:snapToGrid w:val="0"/>
          <w:kern w:val="1"/>
          <w:szCs w:val="24"/>
        </w:rPr>
        <w:t>Par le Parlement européen</w:t>
      </w:r>
      <w:r w:rsidRPr="00365603">
        <w:rPr>
          <w:i/>
          <w:snapToGrid w:val="0"/>
          <w:kern w:val="1"/>
          <w:szCs w:val="24"/>
        </w:rPr>
        <w:tab/>
        <w:t>Par le Conseil</w:t>
      </w:r>
    </w:p>
    <w:p w:rsidR="002022AB" w:rsidRPr="00365603" w:rsidRDefault="002022AB" w:rsidP="00075179">
      <w:pPr>
        <w:tabs>
          <w:tab w:val="left" w:pos="4252"/>
        </w:tabs>
        <w:spacing w:before="120" w:after="120" w:line="360" w:lineRule="auto"/>
        <w:rPr>
          <w:i/>
          <w:snapToGrid w:val="0"/>
          <w:kern w:val="1"/>
          <w:szCs w:val="24"/>
        </w:rPr>
      </w:pPr>
      <w:r w:rsidRPr="00365603">
        <w:rPr>
          <w:i/>
          <w:snapToGrid w:val="0"/>
          <w:kern w:val="1"/>
          <w:szCs w:val="24"/>
        </w:rPr>
        <w:t>Le président</w:t>
      </w:r>
      <w:r w:rsidRPr="00365603">
        <w:rPr>
          <w:i/>
          <w:snapToGrid w:val="0"/>
          <w:kern w:val="1"/>
          <w:szCs w:val="24"/>
        </w:rPr>
        <w:tab/>
        <w:t>Le président</w:t>
      </w:r>
    </w:p>
    <w:p w:rsidR="002022AB" w:rsidRPr="00365603" w:rsidRDefault="002022AB" w:rsidP="00075179">
      <w:pPr>
        <w:tabs>
          <w:tab w:val="left" w:pos="4252"/>
        </w:tabs>
        <w:spacing w:before="120" w:after="120" w:line="360" w:lineRule="auto"/>
        <w:rPr>
          <w:snapToGrid w:val="0"/>
          <w:kern w:val="1"/>
          <w:szCs w:val="24"/>
        </w:rPr>
      </w:pPr>
    </w:p>
    <w:p w:rsidR="002022AB" w:rsidRPr="00365603" w:rsidRDefault="002022AB" w:rsidP="00075179">
      <w:pPr>
        <w:spacing w:before="120" w:after="120" w:line="360" w:lineRule="auto"/>
        <w:jc w:val="center"/>
        <w:rPr>
          <w:snapToGrid w:val="0"/>
          <w:kern w:val="1"/>
          <w:szCs w:val="24"/>
        </w:rPr>
      </w:pPr>
      <w:r w:rsidRPr="00365603">
        <w:rPr>
          <w:snapToGrid w:val="0"/>
          <w:kern w:val="1"/>
          <w:szCs w:val="24"/>
        </w:rPr>
        <w:t>________________________</w:t>
      </w:r>
    </w:p>
    <w:p w:rsidR="002022AB" w:rsidRPr="00365603" w:rsidRDefault="002022AB" w:rsidP="00075179">
      <w:pPr>
        <w:rPr>
          <w:snapToGrid w:val="0"/>
          <w:szCs w:val="24"/>
        </w:rPr>
      </w:pPr>
    </w:p>
    <w:p w:rsidR="002022AB" w:rsidRPr="00365603" w:rsidRDefault="002022AB" w:rsidP="00075179">
      <w:pPr>
        <w:rPr>
          <w:snapToGrid w:val="0"/>
          <w:szCs w:val="24"/>
        </w:rPr>
      </w:pPr>
    </w:p>
    <w:p w:rsidR="002022AB" w:rsidRPr="00365603" w:rsidRDefault="002022AB" w:rsidP="00075179">
      <w:pPr>
        <w:spacing w:before="120" w:after="120" w:line="360" w:lineRule="auto"/>
        <w:ind w:left="851"/>
        <w:rPr>
          <w:snapToGrid w:val="0"/>
          <w:szCs w:val="24"/>
        </w:rPr>
      </w:pPr>
    </w:p>
    <w:p w:rsidR="002022AB" w:rsidRPr="00C92B87" w:rsidRDefault="002022AB" w:rsidP="00075179">
      <w:pPr>
        <w:spacing w:after="240"/>
        <w:rPr>
          <w:b/>
        </w:rPr>
      </w:pPr>
    </w:p>
    <w:p w:rsidR="00B81E3A" w:rsidRPr="005F190F" w:rsidRDefault="00B81E3A">
      <w:pPr>
        <w:rPr>
          <w:noProof w:val="0"/>
        </w:rPr>
      </w:pPr>
    </w:p>
    <w:sectPr w:rsidR="00B81E3A" w:rsidRPr="005F190F" w:rsidSect="00075179">
      <w:footerReference w:type="even" r:id="rId56"/>
      <w:footerReference w:type="default" r:id="rId57"/>
      <w:footnotePr>
        <w:numRestart w:val="eachPage"/>
      </w:footnotePr>
      <w:endnotePr>
        <w:numFmt w:val="decimal"/>
      </w:endnotePr>
      <w:pgSz w:w="11905" w:h="16837" w:code="9"/>
      <w:pgMar w:top="1134" w:right="1247" w:bottom="1814" w:left="1418" w:header="720" w:footer="397"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61" w:rsidRDefault="00333F61">
      <w:r>
        <w:separator/>
      </w:r>
    </w:p>
  </w:endnote>
  <w:endnote w:type="continuationSeparator" w:id="0">
    <w:p w:rsidR="00333F61" w:rsidRDefault="0033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Bdr>
        <w:top w:val="none" w:sz="0" w:space="0" w:color="auto"/>
      </w:pBd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120</w:t>
    </w:r>
    <w:r>
      <w:fldChar w:fldCharType="end"/>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119</w:t>
    </w:r>
    <w: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122</w:t>
    </w:r>
    <w:r>
      <w:fldChar w:fldCharType="end"/>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123</w:t>
    </w:r>
    <w:r>
      <w:fldChar w:fldCharType="end"/>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53812" w:rsidRDefault="00333F61" w:rsidP="00075179">
    <w:pPr>
      <w:pStyle w:val="Foote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126</w:t>
    </w:r>
    <w:r>
      <w:fldChar w:fldCharType="end"/>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125</w:t>
    </w:r>
    <w:r>
      <w:fldChar w:fldCharType="end"/>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160</w:t>
    </w:r>
    <w:r>
      <w:fldChar w:fldCharType="end"/>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161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P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208</w:t>
    </w:r>
    <w:r>
      <w:fldChar w:fldCharType="end"/>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207</w:t>
    </w:r>
    <w:r>
      <w:fldChar w:fldCharType="end"/>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234</w:t>
    </w:r>
    <w:r>
      <w:fldChar w:fldCharType="end"/>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233</w:t>
    </w:r>
    <w:r>
      <w:fldChar w:fldCharType="end"/>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270</w:t>
    </w:r>
    <w:r>
      <w:fldChar w:fldCharType="end"/>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271</w:t>
    </w:r>
    <w:r>
      <w:fldChar w:fldCharType="end"/>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P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310</w:t>
    </w:r>
    <w:r>
      <w:fldChar w:fldCharType="end"/>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311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Bdr>
        <w:top w:val="none" w:sz="0" w:space="0" w:color="auto"/>
      </w:pBdr>
      <w:tabs>
        <w:tab w:val="clear" w:pos="9214"/>
        <w:tab w:val="right" w:pos="9923"/>
      </w:tabs>
      <w:ind w:left="-851"/>
      <w:rPr>
        <w:rFonts w:ascii="Arial" w:hAnsi="Arial"/>
        <w:b/>
        <w:noProof w:val="0"/>
        <w:lang w:val="de-DE"/>
      </w:rPr>
    </w:pPr>
  </w:p>
  <w:p w:rsidR="00333F61" w:rsidRDefault="001D320B" w:rsidP="000C3D44">
    <w:pPr>
      <w:pStyle w:val="Footer"/>
      <w:pBdr>
        <w:top w:val="none" w:sz="0" w:space="0" w:color="auto"/>
      </w:pBdr>
      <w:tabs>
        <w:tab w:val="clear" w:pos="9214"/>
        <w:tab w:val="left" w:pos="5610"/>
        <w:tab w:val="right" w:pos="9923"/>
      </w:tabs>
      <w:ind w:left="-851"/>
      <w:rPr>
        <w:rFonts w:ascii="Arial" w:hAnsi="Arial"/>
        <w:b/>
        <w:noProof w:val="0"/>
        <w:sz w:val="24"/>
        <w:lang w:val="de-DE"/>
      </w:rPr>
    </w:pPr>
    <w:r>
      <w:rPr>
        <w:rFonts w:ascii="Arial" w:hAnsi="Arial"/>
        <w:b/>
        <w:sz w:val="48"/>
        <w:lang w:val="en-US" w:eastAsia="en-US"/>
      </w:rPr>
      <mc:AlternateContent>
        <mc:Choice Requires="wps">
          <w:drawing>
            <wp:anchor distT="0" distB="0" distL="114300" distR="114300" simplePos="0" relativeHeight="251657728" behindDoc="0" locked="0" layoutInCell="0" allowOverlap="1">
              <wp:simplePos x="0" y="0"/>
              <wp:positionH relativeFrom="column">
                <wp:align>center</wp:align>
              </wp:positionH>
              <wp:positionV relativeFrom="paragraph">
                <wp:posOffset>17780</wp:posOffset>
              </wp:positionV>
              <wp:extent cx="2803525"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F61" w:rsidRPr="000C3D44" w:rsidRDefault="00333F61" w:rsidP="000C3D44">
                          <w:pPr>
                            <w:jc w:val="center"/>
                            <w:rPr>
                              <w:rFonts w:eastAsia="Arial Unicode MS"/>
                              <w:i/>
                              <w:color w:val="C0C0C0"/>
                              <w:sz w:val="32"/>
                              <w:szCs w:val="32"/>
                            </w:rPr>
                          </w:pPr>
                          <w:r w:rsidRPr="000C3D44">
                            <w:rPr>
                              <w:rFonts w:eastAsia="Arial Unicode MS"/>
                              <w:i/>
                              <w:color w:val="C0C0C0"/>
                              <w:sz w:val="32"/>
                              <w:szCs w:val="32"/>
                            </w:rPr>
                            <w:t>Unie dans la diversité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left:0;text-align:left;margin-left:0;margin-top:1.4pt;width:220.75pt;height:36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" o:allowincell="f" filled="f" stroked="f">
              <v:textbox>
                <w:txbxContent>
                  <w:p w:rsidR="00333F61" w:rsidRPr="000C3D44" w:rsidRDefault="00333F61" w:rsidP="000C3D44">
                    <w:pPr>
                      <w:jc w:val="center"/>
                      <w:rPr>
                        <w:rFonts w:eastAsia="Arial Unicode MS"/>
                        <w:i/>
                        <w:color w:val="C0C0C0"/>
                        <w:sz w:val="32"/>
                        <w:szCs w:val="32"/>
                      </w:rPr>
                    </w:pPr>
                    <w:r w:rsidRPr="000C3D44">
                      <w:rPr>
                        <w:rFonts w:eastAsia="Arial Unicode MS"/>
                        <w:i/>
                        <w:color w:val="C0C0C0"/>
                        <w:sz w:val="32"/>
                        <w:szCs w:val="32"/>
                      </w:rPr>
                      <w:t>Unie dans la diversité</w:t>
                    </w:r>
                  </w:p>
                </w:txbxContent>
              </v:textbox>
            </v:shape>
          </w:pict>
        </mc:Fallback>
      </mc:AlternateContent>
    </w:r>
    <w:r w:rsidR="00333F61">
      <w:rPr>
        <w:rFonts w:ascii="Arial" w:hAnsi="Arial"/>
        <w:b/>
        <w:noProof w:val="0"/>
        <w:sz w:val="48"/>
        <w:lang w:val="de-DE"/>
      </w:rPr>
      <w:t>FR</w:t>
    </w:r>
    <w:r w:rsidR="00333F61">
      <w:rPr>
        <w:rFonts w:ascii="Arial" w:hAnsi="Arial"/>
        <w:b/>
        <w:noProof w:val="0"/>
        <w:sz w:val="48"/>
        <w:lang w:val="de-DE"/>
      </w:rPr>
      <w:tab/>
    </w:r>
    <w:r w:rsidR="00333F61">
      <w:rPr>
        <w:rFonts w:ascii="Arial" w:hAnsi="Arial"/>
        <w:b/>
        <w:noProof w:val="0"/>
        <w:sz w:val="48"/>
        <w:lang w:val="de-DE"/>
      </w:rPr>
      <w:tab/>
      <w:t>FR</w:t>
    </w:r>
  </w:p>
  <w:p w:rsidR="00333F61" w:rsidRDefault="00333F61">
    <w:pPr>
      <w:pStyle w:val="Footer"/>
      <w:pBdr>
        <w:top w:val="none" w:sz="0" w:space="0" w:color="auto"/>
      </w:pBdr>
      <w:tabs>
        <w:tab w:val="clear" w:pos="9214"/>
        <w:tab w:val="right" w:pos="9923"/>
      </w:tabs>
      <w:ind w:left="-851"/>
      <w:rPr>
        <w:rFonts w:ascii="Arial" w:hAnsi="Arial"/>
        <w:b/>
        <w:noProof w:val="0"/>
        <w:sz w:val="24"/>
        <w:lang w:val="de-DE"/>
      </w:rPr>
    </w:pP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346</w:t>
    </w:r>
    <w:r>
      <w:fldChar w:fldCharType="end"/>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345</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pPr>
    <w:r>
      <w:fldChar w:fldCharType="begin"/>
    </w:r>
    <w:r>
      <w:instrText xml:space="preserve"> PAGE  \* MERGEFORMAT </w:instrText>
    </w:r>
    <w:r>
      <w:fldChar w:fldCharType="separate"/>
    </w:r>
    <w:r w:rsidR="001D320B">
      <w:t>II</w:t>
    </w:r>
    <w:r>
      <w:fldChar w:fldCharType="end"/>
    </w:r>
    <w:r>
      <w:t xml:space="preserve"> /PE 531.385</w:t>
    </w:r>
  </w:p>
  <w:p w:rsidR="00333F61" w:rsidRDefault="00333F61">
    <w:pPr>
      <w:pStyle w:val="Footer"/>
    </w:pPr>
  </w:p>
  <w:p w:rsidR="00333F61" w:rsidRDefault="00333F61" w:rsidP="00E56901">
    <w:pPr>
      <w:pStyle w:val="Footer"/>
      <w:pBdr>
        <w:top w:val="none" w:sz="0" w:space="0" w:color="auto"/>
      </w:pBdr>
      <w:ind w:hanging="850"/>
    </w:pPr>
    <w:r>
      <w:rPr>
        <w:rFonts w:ascii="Arial" w:hAnsi="Arial" w:cs="Arial"/>
        <w:b/>
        <w:sz w:val="48"/>
      </w:rPr>
      <w:t>FR</w:t>
    </w:r>
  </w:p>
  <w:p w:rsidR="00333F61" w:rsidRDefault="00333F61" w:rsidP="00E56901">
    <w:pPr>
      <w:pStyle w:val="Footer"/>
      <w:pBdr>
        <w:top w:val="none" w:sz="0" w:space="0" w:color="auto"/>
      </w:pBdr>
      <w:ind w:hanging="850"/>
    </w:pPr>
  </w:p>
  <w:p w:rsidR="00333F61" w:rsidRPr="00E56901" w:rsidRDefault="00333F61" w:rsidP="00E56901">
    <w:pPr>
      <w:pStyle w:val="Footer"/>
      <w:pBdr>
        <w:top w:val="none" w:sz="0" w:space="0" w:color="auto"/>
      </w:pBdr>
      <w:ind w:hanging="85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Footer"/>
      <w:rPr>
        <w:rStyle w:val="PageNumber"/>
      </w:rPr>
    </w:pPr>
    <w:r>
      <w:rPr>
        <w:rStyle w:val="PageNumber"/>
      </w:rPr>
      <w:tab/>
      <w:t xml:space="preserve">PE 531.385\ </w:t>
    </w:r>
    <w:r>
      <w:rPr>
        <w:rStyle w:val="PageNumber"/>
      </w:rPr>
      <w:fldChar w:fldCharType="begin"/>
    </w:r>
    <w:r>
      <w:rPr>
        <w:rStyle w:val="PageNumber"/>
      </w:rPr>
      <w:instrText xml:space="preserve"> PAGE </w:instrText>
    </w:r>
    <w:r>
      <w:rPr>
        <w:rStyle w:val="PageNumber"/>
      </w:rPr>
      <w:fldChar w:fldCharType="separate"/>
    </w:r>
    <w:r w:rsidR="001D320B">
      <w:rPr>
        <w:rStyle w:val="PageNumber"/>
      </w:rPr>
      <w:t>I</w:t>
    </w:r>
    <w:r>
      <w:rPr>
        <w:rStyle w:val="PageNumber"/>
      </w:rPr>
      <w:fldChar w:fldCharType="end"/>
    </w:r>
  </w:p>
  <w:p w:rsidR="00333F61" w:rsidRDefault="00333F61">
    <w:pPr>
      <w:pStyle w:val="Footer"/>
      <w:pBdr>
        <w:top w:val="none" w:sz="0" w:space="0" w:color="auto"/>
      </w:pBdr>
      <w:rPr>
        <w:rStyle w:val="PageNumber"/>
      </w:rPr>
    </w:pPr>
  </w:p>
  <w:p w:rsidR="00333F61" w:rsidRDefault="00333F61">
    <w:pPr>
      <w:pStyle w:val="Footer"/>
      <w:pBdr>
        <w:top w:val="none" w:sz="0" w:space="0" w:color="auto"/>
      </w:pBdr>
      <w:tabs>
        <w:tab w:val="clear" w:pos="9214"/>
        <w:tab w:val="right" w:pos="9923"/>
      </w:tabs>
      <w:ind w:left="-851"/>
      <w:rPr>
        <w:rFonts w:ascii="Arial" w:hAnsi="Arial"/>
        <w:b/>
        <w:noProof w:val="0"/>
        <w:sz w:val="24"/>
        <w:lang w:val="de-DE"/>
      </w:rPr>
    </w:pPr>
    <w:r>
      <w:rPr>
        <w:rFonts w:ascii="Arial" w:hAnsi="Arial"/>
        <w:b/>
        <w:noProof w:val="0"/>
        <w:sz w:val="48"/>
        <w:lang w:val="de-DE"/>
      </w:rPr>
      <w:tab/>
      <w:t>FR</w:t>
    </w:r>
  </w:p>
  <w:p w:rsidR="00333F61" w:rsidRDefault="00333F61">
    <w:pPr>
      <w:pStyle w:val="Footer"/>
      <w:pBdr>
        <w:top w:val="none" w:sz="0" w:space="0" w:color="auto"/>
      </w:pBdr>
      <w:tabs>
        <w:tab w:val="clear" w:pos="9214"/>
        <w:tab w:val="right" w:pos="9923"/>
      </w:tabs>
      <w:ind w:left="-851"/>
      <w:rPr>
        <w:rFonts w:ascii="Arial" w:hAnsi="Arial"/>
        <w:b/>
        <w:noProof w:val="0"/>
        <w:sz w:val="24"/>
        <w:lang w:val="de-DE"/>
      </w:rPr>
    </w:pPr>
  </w:p>
  <w:p w:rsidR="00333F61" w:rsidRDefault="00333F61">
    <w:pPr>
      <w:pStyle w:val="Footer"/>
      <w:pBdr>
        <w:top w:val="none" w:sz="0" w:space="0" w:color="auto"/>
      </w:pBdr>
      <w:rPr>
        <w:sz w:val="24"/>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52</w:t>
    </w:r>
    <w: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51</w:t>
    </w:r>
    <w: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94</w:t>
    </w:r>
    <w: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022AB" w:rsidRDefault="00333F61" w:rsidP="002022AB">
    <w:pPr>
      <w:pStyle w:val="Footer"/>
      <w:pBdr>
        <w:top w:val="none" w:sz="0" w:space="0" w:color="auto"/>
      </w:pBdr>
      <w:spacing w:after="480"/>
      <w:jc w:val="center"/>
    </w:pPr>
    <w:r>
      <w:fldChar w:fldCharType="begin"/>
    </w:r>
    <w:r>
      <w:instrText xml:space="preserve"> PAGE  \* MERGEFORMAT </w:instrText>
    </w:r>
    <w:r>
      <w:fldChar w:fldCharType="separate"/>
    </w:r>
    <w:r w:rsidR="001D320B">
      <w:t>95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61" w:rsidRDefault="00333F61">
      <w:r>
        <w:separator/>
      </w:r>
    </w:p>
  </w:footnote>
  <w:footnote w:type="continuationSeparator" w:id="0">
    <w:p w:rsidR="00333F61" w:rsidRDefault="00333F61">
      <w:r>
        <w:continuationSeparator/>
      </w:r>
    </w:p>
  </w:footnote>
  <w:footnote w:id="1">
    <w:p w:rsidR="00333F61" w:rsidRPr="002022AB" w:rsidRDefault="00333F61">
      <w:pPr>
        <w:pStyle w:val="FootnoteText"/>
        <w:rPr>
          <w:lang w:val="fr-FR"/>
        </w:rPr>
      </w:pPr>
      <w:r w:rsidRPr="00BF2CB6">
        <w:rPr>
          <w:rStyle w:val="FootnoteReference"/>
        </w:rPr>
        <w:sym w:font="Symbol" w:char="F02A"/>
      </w:r>
      <w:r w:rsidRPr="002022AB">
        <w:rPr>
          <w:lang w:val="fr-FR"/>
        </w:rPr>
        <w:t xml:space="preserve"> </w:t>
      </w:r>
      <w:r w:rsidRPr="002022AB">
        <w:rPr>
          <w:lang w:val="fr-FR"/>
        </w:rPr>
        <w:tab/>
        <w:t>LE TEXTE N'A PAS ENCORE FAIT L'OBJET D'UNE FINALISATION JURIDICO-LINGUISTIQUE.</w:t>
      </w:r>
    </w:p>
  </w:footnote>
  <w:footnote w:id="2">
    <w:p w:rsidR="00333F61" w:rsidRPr="001F3179" w:rsidRDefault="00333F61" w:rsidP="00075179">
      <w:pPr>
        <w:pStyle w:val="FootnoteText"/>
        <w:ind w:left="851" w:hanging="851"/>
        <w:rPr>
          <w:lang w:val="da-DK"/>
        </w:rPr>
      </w:pPr>
      <w:r w:rsidRPr="00072829">
        <w:rPr>
          <w:rStyle w:val="FootnoteReference"/>
        </w:rPr>
        <w:footnoteRef/>
      </w:r>
      <w:r w:rsidRPr="00072829">
        <w:rPr>
          <w:lang w:val="da-DK"/>
        </w:rPr>
        <w:tab/>
        <w:t>JO C du …, p. … .</w:t>
      </w:r>
    </w:p>
  </w:footnote>
  <w:footnote w:id="3">
    <w:p w:rsidR="00333F61" w:rsidRPr="001F3179" w:rsidRDefault="00333F61" w:rsidP="00075179">
      <w:pPr>
        <w:pStyle w:val="FootnoteText"/>
        <w:ind w:left="851" w:hanging="851"/>
        <w:rPr>
          <w:lang w:val="da-DK"/>
        </w:rPr>
      </w:pPr>
      <w:r w:rsidRPr="00072829">
        <w:rPr>
          <w:rStyle w:val="FootnoteReference"/>
        </w:rPr>
        <w:footnoteRef/>
      </w:r>
      <w:r w:rsidRPr="00072829">
        <w:rPr>
          <w:lang w:val="da-DK"/>
        </w:rPr>
        <w:tab/>
        <w:t>JO C du …, p. … .</w:t>
      </w:r>
    </w:p>
  </w:footnote>
  <w:footnote w:id="4">
    <w:p w:rsidR="00333F61" w:rsidRDefault="00333F61" w:rsidP="00075179">
      <w:pPr>
        <w:pStyle w:val="FootnoteText"/>
        <w:ind w:left="851" w:hanging="851"/>
      </w:pPr>
      <w:r>
        <w:rPr>
          <w:rStyle w:val="FootnoteReference"/>
        </w:rPr>
        <w:footnoteRef/>
      </w:r>
      <w:r>
        <w:tab/>
        <w:t>Position du Parlement européen du 15 avril 2014.</w:t>
      </w:r>
    </w:p>
  </w:footnote>
  <w:footnote w:id="5">
    <w:p w:rsidR="00333F61" w:rsidRPr="00072829" w:rsidRDefault="00333F61" w:rsidP="00075179">
      <w:pPr>
        <w:pStyle w:val="FootnoteText"/>
        <w:ind w:left="851" w:hanging="851"/>
      </w:pPr>
      <w:r w:rsidRPr="00072829">
        <w:rPr>
          <w:rStyle w:val="FootnoteReference"/>
        </w:rPr>
        <w:footnoteRef/>
      </w:r>
      <w:r w:rsidRPr="00072829">
        <w:tab/>
        <w:t>Règlement (CE) n° 3/2008 du Conseil du 17 décembre 2007 relatif à des actions d’information et de promotion en faveur des produits agricoles sur le marché intérieur et dans les pays tiers (JO L 3 du 5.1.2008, p. 1).</w:t>
      </w:r>
    </w:p>
  </w:footnote>
  <w:footnote w:id="6">
    <w:p w:rsidR="00333F61" w:rsidRPr="00072829" w:rsidRDefault="00333F61" w:rsidP="00075179">
      <w:pPr>
        <w:pStyle w:val="FootnoteText"/>
        <w:ind w:left="851" w:hanging="851"/>
      </w:pPr>
      <w:r w:rsidRPr="00072829">
        <w:rPr>
          <w:rStyle w:val="FootnoteReference"/>
        </w:rPr>
        <w:footnoteRef/>
      </w:r>
      <w:r w:rsidRPr="00072829">
        <w:tab/>
        <w:t>Règlement (UE) n° 1308/2013 du Parlement européen et du Conseil du 17 décembre 2013 portant organisation commune des marchés des produits agricoles et abrogeant les règlements (CEE) n° 922/72, (CEE) n° 234/79, (CE) n° 1037/2001 et (CE) n° 1234/2007 (JO L 347 du 20.12.2013, p.  671).</w:t>
      </w:r>
    </w:p>
  </w:footnote>
  <w:footnote w:id="7">
    <w:p w:rsidR="00333F61" w:rsidRPr="00072829" w:rsidRDefault="00333F61" w:rsidP="00075179">
      <w:pPr>
        <w:pStyle w:val="FootnoteText"/>
        <w:ind w:left="851" w:hanging="851"/>
      </w:pPr>
      <w:r w:rsidRPr="00072829">
        <w:rPr>
          <w:rStyle w:val="FootnoteReference"/>
        </w:rPr>
        <w:footnoteRef/>
      </w:r>
      <w:r w:rsidRPr="00072829">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
    <w:p w:rsidR="00333F61" w:rsidRPr="00072829" w:rsidRDefault="00333F61" w:rsidP="00075179">
      <w:pPr>
        <w:pStyle w:val="FootnoteText"/>
        <w:ind w:left="851" w:hanging="851"/>
      </w:pPr>
      <w:r w:rsidRPr="00072829">
        <w:rPr>
          <w:rStyle w:val="FootnoteReference"/>
        </w:rPr>
        <w:footnoteRef/>
      </w:r>
      <w:r w:rsidRPr="00072829">
        <w:tab/>
        <w:t>Règlement (UE) n° 1379/2013 du Parlement européen et du Conseil du 11 décembre 2013 portant organisation commune des marchés dans le secteur des produits de la pêche et de l'aquaculture, modifiant les règlements (CE) n° 1184/2006 et (CE) n° 1224/2009 du Conseil et abrogeant le règlement (CE) n° 104/2000 du Conseil (JO L 354 du 28.12.2013, p. 1)..</w:t>
      </w:r>
    </w:p>
  </w:footnote>
  <w:footnote w:id="9">
    <w:p w:rsidR="00333F61" w:rsidRPr="001F3179" w:rsidRDefault="00333F61" w:rsidP="00075179">
      <w:pPr>
        <w:pStyle w:val="FootnoteText"/>
        <w:ind w:left="851" w:hanging="851"/>
      </w:pPr>
      <w:r>
        <w:rPr>
          <w:rStyle w:val="FootnoteReference"/>
        </w:rPr>
        <w:footnoteRef/>
      </w:r>
      <w:r>
        <w:tab/>
      </w:r>
      <w:r w:rsidRPr="001F3179">
        <w:t>Règlement (UE, Euratom) n° 966/2012 du Parlement européen et du Conseil du 25</w:t>
      </w:r>
      <w:r>
        <w:t> </w:t>
      </w:r>
      <w:r w:rsidRPr="001F3179">
        <w:t>octobre</w:t>
      </w:r>
      <w:r>
        <w:t> </w:t>
      </w:r>
      <w:r w:rsidRPr="001F3179">
        <w:t>2012 relatif aux règles financières applicables au budget général de l'Union et abrogeant le règlement (CE, Euratom) n° 1605/2002 du Conseil (JO L 298 du 26.10.2012, p.</w:t>
      </w:r>
      <w:r>
        <w:t> </w:t>
      </w:r>
      <w:r w:rsidRPr="001F3179">
        <w:t>1)</w:t>
      </w:r>
    </w:p>
  </w:footnote>
  <w:footnote w:id="10">
    <w:p w:rsidR="00333F61" w:rsidRPr="00072829" w:rsidRDefault="00333F61" w:rsidP="00075179">
      <w:pPr>
        <w:pStyle w:val="FootnoteText"/>
        <w:ind w:left="851" w:hanging="851"/>
      </w:pPr>
      <w:r w:rsidRPr="00072829">
        <w:rPr>
          <w:rStyle w:val="FootnoteReference"/>
        </w:rPr>
        <w:footnoteRef/>
      </w:r>
      <w:r w:rsidRPr="00072829">
        <w:tab/>
        <w:t>Règlement (CE) nº 1184/2006 du Conseil du 24 juillet 2006 portant application de certaines règles de concurrence à la production et au commerce de certains produits agricoles (JO L 214 du 4.8.2006, p. 7).</w:t>
      </w:r>
    </w:p>
  </w:footnote>
  <w:footnote w:id="11">
    <w:p w:rsidR="00333F61" w:rsidRPr="00072829" w:rsidRDefault="00333F61" w:rsidP="00075179">
      <w:pPr>
        <w:pStyle w:val="FootnoteText"/>
        <w:ind w:left="851" w:hanging="851"/>
      </w:pPr>
      <w:r w:rsidRPr="00072829">
        <w:rPr>
          <w:rStyle w:val="FootnoteReference"/>
        </w:rPr>
        <w:footnoteRef/>
      </w:r>
      <w:r w:rsidRPr="00072829">
        <w:tab/>
        <w:t>Sous réserve de sa révision par les juristes-linguistes.</w:t>
      </w:r>
    </w:p>
  </w:footnote>
  <w:footnote w:id="12">
    <w:p w:rsidR="00333F61" w:rsidRPr="00BA4503" w:rsidRDefault="00333F61" w:rsidP="00075179">
      <w:pPr>
        <w:pStyle w:val="FootnoteText"/>
      </w:pPr>
      <w:r w:rsidRPr="00BA4503">
        <w:rPr>
          <w:rStyle w:val="FootnoteReference"/>
        </w:rPr>
        <w:footnoteRef/>
      </w:r>
      <w:r>
        <w:tab/>
      </w:r>
      <w:r w:rsidRPr="00BA4503">
        <w:t>Non encore paru au</w:t>
      </w:r>
      <w:r w:rsidRPr="00D02753">
        <w:t xml:space="preserve"> Journal officiel.</w:t>
      </w:r>
    </w:p>
  </w:footnote>
  <w:footnote w:id="13">
    <w:p w:rsidR="00333F61" w:rsidRDefault="00333F61" w:rsidP="00075179">
      <w:pPr>
        <w:pStyle w:val="FootnoteText"/>
      </w:pPr>
      <w:r>
        <w:rPr>
          <w:rStyle w:val="FootnoteReference"/>
        </w:rPr>
        <w:footnoteRef/>
      </w:r>
      <w:r>
        <w:tab/>
      </w:r>
      <w:r w:rsidRPr="000B58C5">
        <w:t>Avis du 10 décembre 2013 (non encore paru au Journal officiel).</w:t>
      </w:r>
    </w:p>
  </w:footnote>
  <w:footnote w:id="14">
    <w:p w:rsidR="00333F61" w:rsidRDefault="00333F61" w:rsidP="00075179">
      <w:pPr>
        <w:pStyle w:val="FootnoteText"/>
      </w:pPr>
      <w:r>
        <w:rPr>
          <w:rStyle w:val="FootnoteReference"/>
        </w:rPr>
        <w:footnoteRef/>
      </w:r>
      <w:r>
        <w:tab/>
        <w:t>Position du Parlement européen du 15 avril 2014.</w:t>
      </w:r>
    </w:p>
  </w:footnote>
  <w:footnote w:id="15">
    <w:p w:rsidR="00333F61" w:rsidRPr="00CF51FE" w:rsidRDefault="00333F61" w:rsidP="00075179">
      <w:pPr>
        <w:pStyle w:val="FootnoteText"/>
      </w:pPr>
      <w:r w:rsidRPr="00CF51FE">
        <w:rPr>
          <w:rStyle w:val="FootnoteReference"/>
        </w:rPr>
        <w:footnoteRef/>
      </w:r>
      <w:r w:rsidRPr="00CF51FE">
        <w:tab/>
      </w:r>
      <w:r w:rsidRPr="005E6B7E">
        <w:t xml:space="preserve">Règlement (UE) n° 1291/2013 du Parlement européen et du Conseil du 11 décembre 2013 portant établissement du programme-cadre pour la recherche et l'innovation "Horizon 2020" (2014-2020) et abrogeant la décision n° 1982/2006/CE </w:t>
      </w:r>
      <w:r>
        <w:t>(</w:t>
      </w:r>
      <w:r w:rsidRPr="00CF51FE">
        <w:t xml:space="preserve">JO </w:t>
      </w:r>
      <w:r w:rsidRPr="00CF51FE">
        <w:rPr>
          <w:b/>
          <w:i/>
        </w:rPr>
        <w:t>L 347 du 20.12.2013, p. 104</w:t>
      </w:r>
      <w:r>
        <w:rPr>
          <w:b/>
          <w:i/>
        </w:rPr>
        <w:t>)</w:t>
      </w:r>
      <w:r w:rsidRPr="00CF51FE">
        <w:t>.</w:t>
      </w:r>
    </w:p>
  </w:footnote>
  <w:footnote w:id="16">
    <w:p w:rsidR="00333F61" w:rsidRPr="00CF51FE" w:rsidRDefault="00333F61" w:rsidP="00075179">
      <w:pPr>
        <w:pStyle w:val="FootnoteText"/>
      </w:pPr>
      <w:r w:rsidRPr="00CF51FE">
        <w:rPr>
          <w:rStyle w:val="FootnoteReference"/>
        </w:rPr>
        <w:footnoteRef/>
      </w:r>
      <w:r w:rsidRPr="00CF51FE">
        <w:tab/>
      </w:r>
      <w:r w:rsidRPr="005E6B7E">
        <w:t>Décision n</w:t>
      </w:r>
      <w:r>
        <w:t>°</w:t>
      </w:r>
      <w:r w:rsidRPr="005E6B7E">
        <w:t xml:space="preserve"> 742/2008/CE du Parlement européen et du Conseil du 9 juillet 2008 sur la participation de la Communauté à un programme de recherche et développement entrepris par plusieurs États membres, visant à améliorer la qualité de vie des personnes âgées par le recours à de nouvelles technologies de l’information et des communications </w:t>
      </w:r>
      <w:r>
        <w:t>(</w:t>
      </w:r>
      <w:r w:rsidRPr="00CF51FE">
        <w:t>JO L 201 du</w:t>
      </w:r>
      <w:r>
        <w:t> </w:t>
      </w:r>
      <w:r w:rsidRPr="00CF51FE">
        <w:t>30.7.2008, p. 49</w:t>
      </w:r>
      <w:r>
        <w:t>)</w:t>
      </w:r>
      <w:r w:rsidRPr="00CF51FE">
        <w:t>.</w:t>
      </w:r>
    </w:p>
  </w:footnote>
  <w:footnote w:id="17">
    <w:p w:rsidR="00333F61" w:rsidRPr="00CF51FE" w:rsidRDefault="00333F61" w:rsidP="00075179">
      <w:pPr>
        <w:pStyle w:val="FootnoteText"/>
      </w:pPr>
      <w:r w:rsidRPr="00CF51FE">
        <w:rPr>
          <w:rStyle w:val="FootnoteReference"/>
        </w:rPr>
        <w:footnoteRef/>
      </w:r>
      <w:r w:rsidRPr="00CF51FE">
        <w:tab/>
      </w:r>
      <w:r w:rsidRPr="005E6B7E">
        <w:t>Décision n</w:t>
      </w:r>
      <w:r>
        <w:t>°</w:t>
      </w:r>
      <w:r w:rsidRPr="005E6B7E">
        <w:t xml:space="preserve"> 1982/2006/CE du Parlement européen et du Conseil du 18 décembre 2006 relative au septième programme-cadre de la Communauté européenne pour des actions de recherche, de développement technologique et de démonstration (2007-2013) </w:t>
      </w:r>
      <w:r>
        <w:t>(JO L 412 du </w:t>
      </w:r>
      <w:r w:rsidRPr="00CF51FE">
        <w:t>30.12.2006, p. 1</w:t>
      </w:r>
      <w:r>
        <w:t>)</w:t>
      </w:r>
      <w:r w:rsidRPr="00CF51FE">
        <w:t>.</w:t>
      </w:r>
    </w:p>
  </w:footnote>
  <w:footnote w:id="18">
    <w:p w:rsidR="00333F61" w:rsidRPr="00CF51FE" w:rsidRDefault="00333F61" w:rsidP="00075179">
      <w:pPr>
        <w:pStyle w:val="FootnoteText"/>
      </w:pPr>
      <w:r w:rsidRPr="00CF51FE">
        <w:rPr>
          <w:rStyle w:val="FootnoteReference"/>
        </w:rPr>
        <w:footnoteRef/>
      </w:r>
      <w:r w:rsidRPr="00CF51FE">
        <w:tab/>
      </w:r>
      <w:r>
        <w:t>R</w:t>
      </w:r>
      <w:r w:rsidRPr="001A5E46">
        <w:t>èglement (UE, Euratom) n° 966/2012 du Parlement européen et du Conseil du</w:t>
      </w:r>
      <w:r>
        <w:t> </w:t>
      </w:r>
      <w:r w:rsidRPr="001A5E46">
        <w:t>25</w:t>
      </w:r>
      <w:r>
        <w:t> octobre </w:t>
      </w:r>
      <w:r w:rsidRPr="001A5E46">
        <w:t xml:space="preserve">2012 relatif aux règles financières applicables au budget général de l'Union </w:t>
      </w:r>
      <w:r>
        <w:t>et abrogeant le règlement (CE, Euratom) n° 1605/2002 du Conseil (</w:t>
      </w:r>
      <w:r w:rsidRPr="00CF51FE">
        <w:t>JO L 298 du 26.10.2012, p. 1</w:t>
      </w:r>
      <w:r>
        <w:t>)</w:t>
      </w:r>
      <w:r w:rsidRPr="00CF51FE">
        <w:t>.</w:t>
      </w:r>
    </w:p>
  </w:footnote>
  <w:footnote w:id="19">
    <w:p w:rsidR="00333F61" w:rsidRPr="00CF51FE" w:rsidRDefault="00333F61" w:rsidP="00075179">
      <w:pPr>
        <w:pStyle w:val="FootnoteText"/>
      </w:pPr>
      <w:r w:rsidRPr="00CF51FE">
        <w:rPr>
          <w:rStyle w:val="FootnoteReference"/>
        </w:rPr>
        <w:footnoteRef/>
      </w:r>
      <w:r w:rsidRPr="00CF51FE">
        <w:tab/>
      </w:r>
      <w:r>
        <w:t>R</w:t>
      </w:r>
      <w:r w:rsidRPr="001A5E46">
        <w:t>èglement délégué (UE) n° 1268/2012 de la Commission du 29 octobre 2012 relatif aux règles d'application du règlement (UE, Euratom) n° 966/2012</w:t>
      </w:r>
      <w:r>
        <w:t xml:space="preserve"> (</w:t>
      </w:r>
      <w:r w:rsidRPr="00CF51FE">
        <w:t>JO L 362 du 31.12.2012, p. 1</w:t>
      </w:r>
      <w:r>
        <w:t>)</w:t>
      </w:r>
      <w:r w:rsidRPr="00CF51FE">
        <w:t>.</w:t>
      </w:r>
    </w:p>
  </w:footnote>
  <w:footnote w:id="20">
    <w:p w:rsidR="00333F61" w:rsidRPr="00CF51FE" w:rsidRDefault="00333F61" w:rsidP="00075179">
      <w:pPr>
        <w:pStyle w:val="FootnoteText"/>
      </w:pPr>
      <w:r w:rsidRPr="00CF51FE">
        <w:rPr>
          <w:rStyle w:val="FootnoteReference"/>
        </w:rPr>
        <w:footnoteRef/>
      </w:r>
      <w:r w:rsidRPr="00CF51FE">
        <w:tab/>
      </w:r>
      <w:r>
        <w:t>R</w:t>
      </w:r>
      <w:r w:rsidRPr="001A5E46">
        <w:t>èglement (UE) n° 1290/2013 du Parlement européen et du Conseil du 11 décembre 2013 définissant les règles de participation au programme cadre pour la recherche et l'innovation "Horizon 2020" (2014 2020) et les règles de diffusion des résultats</w:t>
      </w:r>
      <w:r>
        <w:t xml:space="preserve"> et abrogeant le règlement (CE) n° 1906/2006 (</w:t>
      </w:r>
      <w:r w:rsidRPr="00CF51FE">
        <w:t xml:space="preserve">JO L </w:t>
      </w:r>
      <w:r w:rsidRPr="00CF51FE">
        <w:rPr>
          <w:b/>
          <w:i/>
          <w:color w:val="000000"/>
        </w:rPr>
        <w:t>347 du 20.12.2013, p. 81</w:t>
      </w:r>
      <w:r>
        <w:rPr>
          <w:b/>
          <w:i/>
          <w:color w:val="000000"/>
        </w:rPr>
        <w:t>)</w:t>
      </w:r>
      <w:r w:rsidRPr="00CF51FE">
        <w:t>.</w:t>
      </w:r>
    </w:p>
  </w:footnote>
  <w:footnote w:id="21">
    <w:p w:rsidR="00333F61" w:rsidRPr="00D96FF9" w:rsidRDefault="00333F61" w:rsidP="00075179">
      <w:pPr>
        <w:pStyle w:val="FootnoteText"/>
        <w:rPr>
          <w:lang w:val="fr-BE"/>
        </w:rPr>
      </w:pPr>
      <w:r>
        <w:rPr>
          <w:rStyle w:val="FootnoteReference"/>
        </w:rPr>
        <w:footnoteRef/>
      </w:r>
      <w:r>
        <w:tab/>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footnote>
  <w:footnote w:id="22">
    <w:p w:rsidR="00333F61" w:rsidRDefault="00333F61" w:rsidP="00075179">
      <w:pPr>
        <w:pStyle w:val="FootnoteText"/>
      </w:pPr>
      <w:r>
        <w:rPr>
          <w:rStyle w:val="FootnoteReference"/>
        </w:rPr>
        <w:footnoteRef/>
      </w:r>
      <w: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3">
    <w:p w:rsidR="00333F61" w:rsidRDefault="00333F61" w:rsidP="00075179">
      <w:pPr>
        <w:pStyle w:val="FootnoteText"/>
      </w:pPr>
      <w:r>
        <w:rPr>
          <w:rStyle w:val="FootnoteReference"/>
        </w:rPr>
        <w:footnoteRef/>
      </w:r>
      <w:r>
        <w:tab/>
      </w:r>
      <w:r w:rsidRPr="000B7B96">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w:t>
      </w:r>
      <w:r>
        <w:t xml:space="preserve"> (</w:t>
      </w:r>
      <w:r w:rsidRPr="000B7B96">
        <w:t>JO L 248 du 18.9.2013, p. 1</w:t>
      </w:r>
      <w:r>
        <w:t>)</w:t>
      </w:r>
      <w:r w:rsidRPr="000B7B96">
        <w:t>.</w:t>
      </w:r>
    </w:p>
  </w:footnote>
  <w:footnote w:id="24">
    <w:p w:rsidR="00333F61" w:rsidRPr="00624FEC" w:rsidRDefault="00333F61" w:rsidP="00075179">
      <w:pPr>
        <w:pStyle w:val="FootnoteText"/>
      </w:pPr>
      <w:r w:rsidRPr="00624FEC">
        <w:rPr>
          <w:rStyle w:val="FootnoteReference"/>
        </w:rPr>
        <w:footnoteRef/>
      </w:r>
      <w:r>
        <w:tab/>
      </w:r>
      <w:r w:rsidRPr="00624FEC">
        <w:t>Non encore paru au</w:t>
      </w:r>
      <w:r w:rsidRPr="000A60AE">
        <w:t xml:space="preserve"> Journal officiel.</w:t>
      </w:r>
    </w:p>
  </w:footnote>
  <w:footnote w:id="25">
    <w:p w:rsidR="00333F61" w:rsidRPr="00451463" w:rsidRDefault="00333F61" w:rsidP="00075179">
      <w:pPr>
        <w:pStyle w:val="FootnoteText"/>
        <w:rPr>
          <w:lang w:val="ro-RO"/>
        </w:rPr>
      </w:pPr>
      <w:r>
        <w:rPr>
          <w:rStyle w:val="FootnoteReference"/>
        </w:rPr>
        <w:footnoteRef/>
      </w:r>
      <w:r>
        <w:tab/>
        <w:t>Avis du 10 décembre 2013 (non encore paru au Journal officiel).</w:t>
      </w:r>
    </w:p>
  </w:footnote>
  <w:footnote w:id="26">
    <w:p w:rsidR="00333F61" w:rsidRDefault="00333F61" w:rsidP="00075179">
      <w:pPr>
        <w:pStyle w:val="FootnoteText"/>
      </w:pPr>
      <w:r>
        <w:rPr>
          <w:rStyle w:val="FootnoteReference"/>
        </w:rPr>
        <w:footnoteRef/>
      </w:r>
      <w:r>
        <w:tab/>
        <w:t>Position du Parlement européen du 15 avril 2014.</w:t>
      </w:r>
    </w:p>
  </w:footnote>
  <w:footnote w:id="27">
    <w:p w:rsidR="00333F61" w:rsidRPr="00451463" w:rsidRDefault="00333F61" w:rsidP="00075179">
      <w:pPr>
        <w:pStyle w:val="FootnoteText"/>
        <w:rPr>
          <w:lang w:val="ro-RO"/>
        </w:rPr>
      </w:pPr>
      <w:r>
        <w:rPr>
          <w:rStyle w:val="FootnoteReference"/>
        </w:rPr>
        <w:footnoteRef/>
      </w:r>
      <w:r>
        <w:tab/>
      </w:r>
      <w:r w:rsidRPr="0099077C">
        <w:t>Règlement (UE) n ° 1291/2013 du Parlement européen et du Conseil du 11 décembre 2013 portant établissement du programme-cadre pour la recherche et l'innovation "Horizon 2020" (2014-2020) et abrogeant la décision n ° 1982/2006/CE</w:t>
      </w:r>
      <w:r>
        <w:t xml:space="preserve"> (JO </w:t>
      </w:r>
      <w:r>
        <w:rPr>
          <w:b/>
          <w:i/>
          <w:color w:val="000000"/>
        </w:rPr>
        <w:t>L 347 du 20.12.2013, p. 104).</w:t>
      </w:r>
    </w:p>
  </w:footnote>
  <w:footnote w:id="28">
    <w:p w:rsidR="00333F61" w:rsidRPr="00451463" w:rsidRDefault="00333F61" w:rsidP="00075179">
      <w:pPr>
        <w:pStyle w:val="FootnoteText"/>
        <w:rPr>
          <w:lang w:val="ro-RO"/>
        </w:rPr>
      </w:pPr>
      <w:r>
        <w:rPr>
          <w:rStyle w:val="FootnoteReference"/>
        </w:rPr>
        <w:footnoteRef/>
      </w:r>
      <w:r>
        <w:tab/>
        <w:t>D</w:t>
      </w:r>
      <w:r w:rsidRPr="0099077C">
        <w:t>écision n° 743/2008/CE du Parlement européen et du Conseil du 9 juillet 2008 sur la participation de la Communauté à un programme de recherche et de développement entrepris par plusieurs États membres, visant à soutenir les petites et moyennes entreprises qui exercent des activités de recherche et de développement</w:t>
      </w:r>
      <w:r>
        <w:t xml:space="preserve"> (JO L 201 du 30.7.2008, p. 58).</w:t>
      </w:r>
    </w:p>
  </w:footnote>
  <w:footnote w:id="29">
    <w:p w:rsidR="00333F61" w:rsidRPr="00D30369" w:rsidRDefault="00333F61" w:rsidP="00075179">
      <w:pPr>
        <w:pStyle w:val="FootnoteText"/>
        <w:rPr>
          <w:lang w:val="ro-RO"/>
        </w:rPr>
      </w:pPr>
      <w:r>
        <w:rPr>
          <w:rStyle w:val="FootnoteReference"/>
        </w:rPr>
        <w:footnoteRef/>
      </w:r>
      <w:r w:rsidRPr="00255D29">
        <w:tab/>
        <w:t>JO L 124 du 20.5.2003, p. 36.</w:t>
      </w:r>
    </w:p>
  </w:footnote>
  <w:footnote w:id="30">
    <w:p w:rsidR="00333F61" w:rsidRPr="00D30369" w:rsidRDefault="00333F61" w:rsidP="00075179">
      <w:pPr>
        <w:pStyle w:val="FootnoteText"/>
        <w:rPr>
          <w:lang w:val="ro-RO"/>
        </w:rPr>
      </w:pPr>
      <w:r>
        <w:rPr>
          <w:rStyle w:val="FootnoteReference"/>
        </w:rPr>
        <w:footnoteRef/>
      </w:r>
      <w:r w:rsidRPr="0099077C">
        <w:rPr>
          <w:lang w:val="fr-BE"/>
        </w:rPr>
        <w:tab/>
        <w:t xml:space="preserve">Décision </w:t>
      </w:r>
      <w:r w:rsidRPr="0048688D">
        <w:rPr>
          <w:lang w:val="fr-BE"/>
        </w:rPr>
        <w:t>2013/743/UE</w:t>
      </w:r>
      <w:r w:rsidRPr="0099077C">
        <w:rPr>
          <w:lang w:val="fr-BE"/>
        </w:rPr>
        <w:t xml:space="preserve"> du Conseil du 3 décembre 2013 établissant le programme spécifique d'exécution du programme-cadre pour la recherche et l'innovation "Horizon 2020" (2014-2020) et abrogeant les décisions 2006/971/CE, 2006/972/CE, 2006/973/CE, 2006/974/CE et 2006/975/CE</w:t>
      </w:r>
      <w:r>
        <w:rPr>
          <w:lang w:val="fr-BE"/>
        </w:rPr>
        <w:t xml:space="preserve"> (</w:t>
      </w:r>
      <w:r w:rsidRPr="0099077C">
        <w:rPr>
          <w:lang w:val="fr-BE"/>
        </w:rPr>
        <w:t xml:space="preserve">JO </w:t>
      </w:r>
      <w:r w:rsidRPr="0099077C">
        <w:rPr>
          <w:b/>
          <w:i/>
          <w:color w:val="000000"/>
          <w:lang w:val="fr-BE"/>
        </w:rPr>
        <w:t>L 347 du 20.12.2013, p. 965</w:t>
      </w:r>
      <w:r>
        <w:rPr>
          <w:b/>
          <w:i/>
          <w:color w:val="000000"/>
          <w:lang w:val="fr-BE"/>
        </w:rPr>
        <w:t>)</w:t>
      </w:r>
      <w:r w:rsidRPr="0099077C">
        <w:rPr>
          <w:b/>
          <w:i/>
          <w:color w:val="000000"/>
          <w:lang w:val="fr-BE"/>
        </w:rPr>
        <w:t>.</w:t>
      </w:r>
    </w:p>
  </w:footnote>
  <w:footnote w:id="31">
    <w:p w:rsidR="00333F61" w:rsidRPr="00D30369" w:rsidRDefault="00333F61" w:rsidP="00075179">
      <w:pPr>
        <w:pStyle w:val="FootnoteText"/>
        <w:rPr>
          <w:lang w:val="ro-RO"/>
        </w:rPr>
      </w:pPr>
      <w:r>
        <w:rPr>
          <w:rStyle w:val="FootnoteReference"/>
        </w:rPr>
        <w:footnoteRef/>
      </w:r>
      <w:r>
        <w:tab/>
        <w:t>R</w:t>
      </w:r>
      <w:r w:rsidRPr="00123657">
        <w:t>èglement (UE, Euratom) n° 966/2012 du Parlement européen et du Conseil du</w:t>
      </w:r>
      <w:r>
        <w:t> </w:t>
      </w:r>
      <w:r w:rsidRPr="00123657">
        <w:t>25</w:t>
      </w:r>
      <w:r>
        <w:t> octobre </w:t>
      </w:r>
      <w:r w:rsidRPr="00123657">
        <w:t>2012 relatif aux règles financières applicables au budget général de l'Union</w:t>
      </w:r>
      <w:r>
        <w:t xml:space="preserve"> et abrogeant le règlement (CE, Euratom) n° 1605/2002 du Conseil</w:t>
      </w:r>
      <w:r w:rsidRPr="00123657">
        <w:t xml:space="preserve"> </w:t>
      </w:r>
      <w:r>
        <w:t>(JO L 298 du 26.10.2012, p. 1).</w:t>
      </w:r>
    </w:p>
  </w:footnote>
  <w:footnote w:id="32">
    <w:p w:rsidR="00333F61" w:rsidRPr="00D30369" w:rsidRDefault="00333F61" w:rsidP="00075179">
      <w:pPr>
        <w:pStyle w:val="FootnoteText"/>
        <w:rPr>
          <w:lang w:val="ro-RO"/>
        </w:rPr>
      </w:pPr>
      <w:r>
        <w:rPr>
          <w:rStyle w:val="FootnoteReference"/>
        </w:rPr>
        <w:footnoteRef/>
      </w:r>
      <w:r>
        <w:tab/>
      </w:r>
      <w:r w:rsidRPr="00123657">
        <w:t xml:space="preserve">Règlement délégué (UE) n ° 1268/2012 de la Commission du 29 octobre 2012 relatif aux règles d’application du règlement (UE, Euratom) n ° 966/2012 </w:t>
      </w:r>
      <w:r>
        <w:t>(JO L 362 du 31.12.2012, p. 1).</w:t>
      </w:r>
    </w:p>
  </w:footnote>
  <w:footnote w:id="33">
    <w:p w:rsidR="00333F61" w:rsidRPr="00D30369" w:rsidRDefault="00333F61" w:rsidP="00075179">
      <w:pPr>
        <w:pStyle w:val="FootnoteText"/>
        <w:rPr>
          <w:lang w:val="ro-RO"/>
        </w:rPr>
      </w:pPr>
      <w:r>
        <w:rPr>
          <w:rStyle w:val="FootnoteReference"/>
        </w:rPr>
        <w:footnoteRef/>
      </w:r>
      <w:r w:rsidRPr="00123657">
        <w:rPr>
          <w:lang w:val="fr-BE"/>
        </w:rPr>
        <w:tab/>
        <w:t xml:space="preserve">Règlement (UE) n° 1290/2013 du Parlement européen et du Conseil du 11 décembre 2013 définissant les règles de participation au programme-cadre pour la recherche et l'innovation "Horizon 2020" (2014-2020) et les règles de diffusion des résultats et abrogeant le règlement (CE) n° 1906/2006 </w:t>
      </w:r>
      <w:r>
        <w:rPr>
          <w:lang w:val="fr-BE"/>
        </w:rPr>
        <w:t>(</w:t>
      </w:r>
      <w:r w:rsidRPr="00123657">
        <w:rPr>
          <w:lang w:val="fr-BE"/>
        </w:rPr>
        <w:t xml:space="preserve">JO </w:t>
      </w:r>
      <w:r w:rsidRPr="00123657">
        <w:rPr>
          <w:b/>
          <w:i/>
          <w:color w:val="000000"/>
          <w:lang w:val="fr-BE"/>
        </w:rPr>
        <w:t>L 347 du 20.12.2013, p. 81</w:t>
      </w:r>
      <w:r>
        <w:rPr>
          <w:b/>
          <w:i/>
          <w:color w:val="000000"/>
          <w:lang w:val="fr-BE"/>
        </w:rPr>
        <w:t>)</w:t>
      </w:r>
      <w:r w:rsidRPr="00123657">
        <w:rPr>
          <w:b/>
          <w:i/>
          <w:color w:val="000000"/>
          <w:lang w:val="fr-BE"/>
        </w:rPr>
        <w:t>.</w:t>
      </w:r>
    </w:p>
  </w:footnote>
  <w:footnote w:id="34">
    <w:p w:rsidR="00333F61" w:rsidRPr="00932C39" w:rsidRDefault="00333F61" w:rsidP="00075179">
      <w:pPr>
        <w:pStyle w:val="FootnoteText"/>
        <w:rPr>
          <w:lang w:val="ro-RO"/>
        </w:rPr>
      </w:pPr>
      <w:r>
        <w:rPr>
          <w:rStyle w:val="FootnoteReference"/>
        </w:rPr>
        <w:footnoteRef/>
      </w:r>
      <w:r w:rsidRPr="009450FD">
        <w:rPr>
          <w:lang w:val="fr-BE"/>
        </w:rPr>
        <w:tab/>
        <w:t xml:space="preserve">Règlement (Euratom, CE) n° 2185/96 du Conseil du 11 novembre 1996 relatif aux contrôles et vérifications sur place effectués par la Commission pour la protection des intérêts financiers des Communautés européennes contre les fraudes et autres irrégularités </w:t>
      </w:r>
      <w:r>
        <w:rPr>
          <w:lang w:val="fr-BE"/>
        </w:rPr>
        <w:t>(</w:t>
      </w:r>
      <w:r w:rsidRPr="009450FD">
        <w:rPr>
          <w:lang w:val="fr-BE"/>
        </w:rPr>
        <w:t>JO L 292 du 15.11.1996, p. 2</w:t>
      </w:r>
      <w:r>
        <w:rPr>
          <w:lang w:val="fr-BE"/>
        </w:rPr>
        <w:t>)</w:t>
      </w:r>
      <w:r w:rsidRPr="009450FD">
        <w:rPr>
          <w:lang w:val="fr-BE"/>
        </w:rPr>
        <w:t>.</w:t>
      </w:r>
    </w:p>
  </w:footnote>
  <w:footnote w:id="35">
    <w:p w:rsidR="00333F61" w:rsidRPr="00932C39" w:rsidRDefault="00333F61" w:rsidP="00075179">
      <w:pPr>
        <w:pStyle w:val="FootnoteText"/>
        <w:rPr>
          <w:lang w:val="ro-RO"/>
        </w:rPr>
      </w:pPr>
      <w:r>
        <w:rPr>
          <w:rStyle w:val="FootnoteReference"/>
        </w:rPr>
        <w:footnoteRef/>
      </w:r>
      <w:r>
        <w:tab/>
      </w:r>
      <w:r w:rsidRPr="009450FD">
        <w:t xml:space="preserve">Règlement (UE, Euratom) n ° 883/2013 du Parlement européen et du Conseil du 11 septembre 2013 relatif aux enquêtes effectuées par l’Office européen de lutte antifraude (OLAF) et abrogeant le règlement (CE) n ° 1073/1999 du Parlement européen et du Conseil et le règlement (Euratom) n ° 1074/1999 du Conseil </w:t>
      </w:r>
      <w:r>
        <w:t xml:space="preserve">(JO L </w:t>
      </w:r>
      <w:r>
        <w:rPr>
          <w:b/>
          <w:i/>
          <w:color w:val="000000"/>
        </w:rPr>
        <w:t xml:space="preserve">248 du 18.9.2013, </w:t>
      </w:r>
      <w:r>
        <w:t>p. 1).</w:t>
      </w:r>
    </w:p>
  </w:footnote>
  <w:footnote w:id="36">
    <w:p w:rsidR="00333F61" w:rsidRPr="002022AB" w:rsidRDefault="00333F61" w:rsidP="00075179">
      <w:pPr>
        <w:pStyle w:val="FootnoteText"/>
        <w:rPr>
          <w:lang w:val="fr-FR"/>
        </w:rPr>
      </w:pPr>
      <w:r w:rsidRPr="00FC09C6">
        <w:rPr>
          <w:rStyle w:val="FootnoteReference"/>
        </w:rPr>
        <w:footnoteRef/>
      </w:r>
      <w:r w:rsidRPr="002022AB">
        <w:rPr>
          <w:lang w:val="fr-FR"/>
        </w:rPr>
        <w:t xml:space="preserve"> </w:t>
      </w:r>
      <w:r w:rsidRPr="002022AB">
        <w:rPr>
          <w:lang w:val="fr-FR"/>
        </w:rPr>
        <w:tab/>
        <w:t>Non encore paru au Journal officiel.</w:t>
      </w:r>
    </w:p>
  </w:footnote>
  <w:footnote w:id="37">
    <w:p w:rsidR="00333F61" w:rsidRDefault="00333F61" w:rsidP="00075179">
      <w:pPr>
        <w:pStyle w:val="FootnoteText"/>
      </w:pPr>
      <w:r>
        <w:rPr>
          <w:rStyle w:val="FootnoteReference"/>
        </w:rPr>
        <w:footnoteRef/>
      </w:r>
      <w:r>
        <w:t xml:space="preserve"> </w:t>
      </w:r>
      <w:r>
        <w:tab/>
      </w:r>
      <w:r w:rsidRPr="00D95CD6">
        <w:t>Avis du 10 décembre 2013 (non encore paru au Journal officiel).</w:t>
      </w:r>
    </w:p>
  </w:footnote>
  <w:footnote w:id="38">
    <w:p w:rsidR="00333F61" w:rsidRDefault="00333F61" w:rsidP="00075179">
      <w:pPr>
        <w:pStyle w:val="FootnoteText"/>
      </w:pPr>
      <w:r>
        <w:rPr>
          <w:rStyle w:val="FootnoteReference"/>
        </w:rPr>
        <w:footnoteRef/>
      </w:r>
      <w:r>
        <w:t xml:space="preserve"> </w:t>
      </w:r>
      <w:r>
        <w:tab/>
        <w:t>Position du Parlement européen du 15 avril 2014.</w:t>
      </w:r>
    </w:p>
  </w:footnote>
  <w:footnote w:id="39">
    <w:p w:rsidR="00333F61" w:rsidRPr="000B7B96" w:rsidRDefault="00333F61" w:rsidP="00075179">
      <w:pPr>
        <w:pStyle w:val="FootnoteText"/>
        <w:rPr>
          <w:lang w:val="fr-BE"/>
        </w:rPr>
      </w:pPr>
      <w:r>
        <w:rPr>
          <w:rStyle w:val="FootnoteReference"/>
        </w:rPr>
        <w:footnoteRef/>
      </w:r>
      <w:r w:rsidRPr="000B7B96">
        <w:rPr>
          <w:lang w:val="fr-BE"/>
        </w:rPr>
        <w:tab/>
        <w:t>Règlement (UE) n° 1291/2013 du Parlement européen et du Conseil du 11 décembre 2013 portant établissement du programme-cadre pour la recherche et l'innovation "Horizon 2020" (2014-2020) et abrogeant la décision n° 1982/2006/CE</w:t>
      </w:r>
      <w:r>
        <w:rPr>
          <w:lang w:val="fr-BE"/>
        </w:rPr>
        <w:t xml:space="preserve"> (</w:t>
      </w:r>
      <w:r w:rsidRPr="000B7B96">
        <w:rPr>
          <w:lang w:val="fr-BE"/>
        </w:rPr>
        <w:t>JO L 347 du 20.12.2013, p. 104</w:t>
      </w:r>
      <w:r>
        <w:rPr>
          <w:lang w:val="fr-BE"/>
        </w:rPr>
        <w:t>)</w:t>
      </w:r>
      <w:r w:rsidRPr="000B7B96">
        <w:rPr>
          <w:lang w:val="fr-BE"/>
        </w:rPr>
        <w:t>.</w:t>
      </w:r>
    </w:p>
  </w:footnote>
  <w:footnote w:id="40">
    <w:p w:rsidR="00333F61" w:rsidRPr="000B7B96" w:rsidRDefault="00333F61" w:rsidP="00075179">
      <w:pPr>
        <w:pStyle w:val="FootnoteText"/>
        <w:rPr>
          <w:lang w:val="fr-BE"/>
        </w:rPr>
      </w:pPr>
      <w:r>
        <w:rPr>
          <w:rStyle w:val="FootnoteReference"/>
        </w:rPr>
        <w:footnoteRef/>
      </w:r>
      <w:r w:rsidRPr="000B7B96">
        <w:rPr>
          <w:lang w:val="fr-BE"/>
        </w:rPr>
        <w:tab/>
        <w:t>Décision n</w:t>
      </w:r>
      <w:r>
        <w:rPr>
          <w:lang w:val="fr-BE"/>
        </w:rPr>
        <w:t>°</w:t>
      </w:r>
      <w:r w:rsidRPr="000B7B96">
        <w:rPr>
          <w:lang w:val="fr-BE"/>
        </w:rPr>
        <w:t xml:space="preserve"> 912/2009/CE du Parlement européen et du Conseil du 16 septembre 2009 sur la participation de la Communauté à un programme européen de recherche et développement en métrologie entrepris par plusieurs États membres</w:t>
      </w:r>
      <w:r>
        <w:rPr>
          <w:lang w:val="fr-BE"/>
        </w:rPr>
        <w:t xml:space="preserve"> (</w:t>
      </w:r>
      <w:r w:rsidRPr="000B7B96">
        <w:rPr>
          <w:lang w:val="fr-BE"/>
        </w:rPr>
        <w:t>JO L 257 du 30.9.2009, p. 12</w:t>
      </w:r>
      <w:r>
        <w:rPr>
          <w:lang w:val="fr-BE"/>
        </w:rPr>
        <w:t>)</w:t>
      </w:r>
      <w:r w:rsidRPr="000B7B96">
        <w:rPr>
          <w:lang w:val="fr-BE"/>
        </w:rPr>
        <w:t>.</w:t>
      </w:r>
    </w:p>
  </w:footnote>
  <w:footnote w:id="41">
    <w:p w:rsidR="00333F61" w:rsidRPr="000B7B96" w:rsidRDefault="00333F61" w:rsidP="00075179">
      <w:pPr>
        <w:pStyle w:val="FootnoteText"/>
        <w:rPr>
          <w:lang w:val="fr-BE"/>
        </w:rPr>
      </w:pPr>
      <w:r>
        <w:rPr>
          <w:rStyle w:val="FootnoteReference"/>
        </w:rPr>
        <w:footnoteRef/>
      </w:r>
      <w:r w:rsidRPr="000B7B96">
        <w:rPr>
          <w:lang w:val="fr-BE"/>
        </w:rPr>
        <w:tab/>
        <w:t>Décision n</w:t>
      </w:r>
      <w:r>
        <w:rPr>
          <w:lang w:val="fr-BE"/>
        </w:rPr>
        <w:t>°</w:t>
      </w:r>
      <w:r w:rsidRPr="000B7B96">
        <w:rPr>
          <w:lang w:val="fr-BE"/>
        </w:rPr>
        <w:t xml:space="preserve"> 1982/2006/CE du Parlement européen et du Conseil du 18 décembre 2006 relative au septième programme-cadre de la Communauté européenne pour des actions de recherche, de développement technologique et de démonstration (2007-2013)</w:t>
      </w:r>
      <w:r>
        <w:rPr>
          <w:lang w:val="fr-BE"/>
        </w:rPr>
        <w:t xml:space="preserve"> (</w:t>
      </w:r>
      <w:r w:rsidRPr="000B7B96">
        <w:rPr>
          <w:lang w:val="fr-BE"/>
        </w:rPr>
        <w:t>JO L 412 du 30.12.2006, p. 1.</w:t>
      </w:r>
    </w:p>
  </w:footnote>
  <w:footnote w:id="42">
    <w:p w:rsidR="00333F61" w:rsidRPr="000B7B96" w:rsidRDefault="00333F61" w:rsidP="00075179">
      <w:pPr>
        <w:pStyle w:val="FootnoteText"/>
        <w:rPr>
          <w:lang w:val="fr-BE"/>
        </w:rPr>
      </w:pPr>
      <w:r>
        <w:rPr>
          <w:rStyle w:val="FootnoteReference"/>
        </w:rPr>
        <w:footnoteRef/>
      </w:r>
      <w:r w:rsidRPr="000B7B96">
        <w:rPr>
          <w:lang w:val="fr-BE"/>
        </w:rPr>
        <w:tab/>
        <w:t xml:space="preserve">Décision </w:t>
      </w:r>
      <w:r w:rsidRPr="0048688D">
        <w:rPr>
          <w:lang w:val="fr-BE"/>
        </w:rPr>
        <w:t>2013/743/UE</w:t>
      </w:r>
      <w:r w:rsidRPr="000B7B96">
        <w:rPr>
          <w:lang w:val="fr-BE"/>
        </w:rPr>
        <w:t xml:space="preserve"> du Conseil du 3 décembre 2013 établissant le programme spécifique d'exécution du programme-cadre pour la recherche et l'</w:t>
      </w:r>
      <w:r>
        <w:rPr>
          <w:lang w:val="fr-BE"/>
        </w:rPr>
        <w:t>innovation "Horizon 2020" (2014</w:t>
      </w:r>
      <w:r>
        <w:rPr>
          <w:lang w:val="fr-BE"/>
        </w:rPr>
        <w:noBreakHyphen/>
      </w:r>
      <w:r w:rsidRPr="000B7B96">
        <w:rPr>
          <w:lang w:val="fr-BE"/>
        </w:rPr>
        <w:t>2020) et abrogeant les décisions 2006/971/CE, 2006/972/CE, 2006/973/CE, 2006/974/CE et 2006/975/CE</w:t>
      </w:r>
      <w:r>
        <w:rPr>
          <w:lang w:val="fr-BE"/>
        </w:rPr>
        <w:t xml:space="preserve"> (</w:t>
      </w:r>
      <w:r w:rsidRPr="000B7B96">
        <w:rPr>
          <w:lang w:val="fr-BE"/>
        </w:rPr>
        <w:t>JO L 347 du 20.12.2013, p. 965</w:t>
      </w:r>
      <w:r>
        <w:rPr>
          <w:lang w:val="fr-BE"/>
        </w:rPr>
        <w:t>)</w:t>
      </w:r>
      <w:r w:rsidRPr="000B7B96">
        <w:rPr>
          <w:lang w:val="fr-BE"/>
        </w:rPr>
        <w:t>.</w:t>
      </w:r>
    </w:p>
  </w:footnote>
  <w:footnote w:id="43">
    <w:p w:rsidR="00333F61" w:rsidRPr="000B7B96" w:rsidRDefault="00333F61" w:rsidP="00075179">
      <w:pPr>
        <w:pStyle w:val="FootnoteText"/>
        <w:rPr>
          <w:lang w:val="fr-BE"/>
        </w:rPr>
      </w:pPr>
      <w:r>
        <w:rPr>
          <w:rStyle w:val="FootnoteReference"/>
        </w:rPr>
        <w:footnoteRef/>
      </w:r>
      <w:r w:rsidRPr="000B7B96">
        <w:rPr>
          <w:lang w:val="fr-BE"/>
        </w:rPr>
        <w:tab/>
      </w:r>
      <w:r>
        <w:rPr>
          <w:lang w:val="fr-BE"/>
        </w:rPr>
        <w:t>R</w:t>
      </w:r>
      <w:r w:rsidRPr="000B7B96">
        <w:rPr>
          <w:lang w:val="fr-BE"/>
        </w:rPr>
        <w:t xml:space="preserve">èglement (UE, Euratom) n° 966/2012 du Parlement européen et du Conseil du 25 octobre 2012 relatif aux règles financières applicables au budget général de l'Union </w:t>
      </w:r>
      <w:r>
        <w:rPr>
          <w:lang w:val="fr-BE"/>
        </w:rPr>
        <w:t>et abrogeant le règlement (CE, Euratom) n° 1605/2002 du Conseil (</w:t>
      </w:r>
      <w:r w:rsidRPr="000B7B96">
        <w:rPr>
          <w:lang w:val="fr-BE"/>
        </w:rPr>
        <w:t>JO L 298 du</w:t>
      </w:r>
      <w:r>
        <w:rPr>
          <w:lang w:val="fr-BE"/>
        </w:rPr>
        <w:t> </w:t>
      </w:r>
      <w:r w:rsidRPr="000B7B96">
        <w:rPr>
          <w:lang w:val="fr-BE"/>
        </w:rPr>
        <w:t>26.10.2012</w:t>
      </w:r>
      <w:r>
        <w:rPr>
          <w:lang w:val="fr-BE"/>
        </w:rPr>
        <w:t>, p. 1)</w:t>
      </w:r>
      <w:r w:rsidRPr="000B7B96">
        <w:rPr>
          <w:lang w:val="fr-BE"/>
        </w:rPr>
        <w:t>.</w:t>
      </w:r>
    </w:p>
  </w:footnote>
  <w:footnote w:id="44">
    <w:p w:rsidR="00333F61" w:rsidRPr="000B7B96" w:rsidRDefault="00333F61" w:rsidP="00075179">
      <w:pPr>
        <w:pStyle w:val="FootnoteText"/>
        <w:rPr>
          <w:lang w:val="fr-BE"/>
        </w:rPr>
      </w:pPr>
      <w:r>
        <w:rPr>
          <w:rStyle w:val="FootnoteReference"/>
        </w:rPr>
        <w:footnoteRef/>
      </w:r>
      <w:r w:rsidRPr="000B7B96">
        <w:rPr>
          <w:lang w:val="fr-BE"/>
        </w:rPr>
        <w:tab/>
      </w:r>
      <w:r>
        <w:rPr>
          <w:lang w:val="fr-BE"/>
        </w:rPr>
        <w:t>R</w:t>
      </w:r>
      <w:r w:rsidRPr="000B7B96">
        <w:rPr>
          <w:lang w:val="fr-BE"/>
        </w:rPr>
        <w:t>èglement délégué (UE) n° 1268/2012 de la Commission du 29 octobre 2012 relatif aux règles d'application du règlement (UE, Euratom) n° 966/2012</w:t>
      </w:r>
      <w:r>
        <w:rPr>
          <w:lang w:val="fr-BE"/>
        </w:rPr>
        <w:t xml:space="preserve"> (</w:t>
      </w:r>
      <w:r w:rsidRPr="000B7B96">
        <w:rPr>
          <w:lang w:val="fr-BE"/>
        </w:rPr>
        <w:t>JO L 362 du 31.12.2012</w:t>
      </w:r>
      <w:r>
        <w:rPr>
          <w:lang w:val="fr-BE"/>
        </w:rPr>
        <w:t>, p. 1)</w:t>
      </w:r>
      <w:r w:rsidRPr="000B7B96">
        <w:rPr>
          <w:lang w:val="fr-BE"/>
        </w:rPr>
        <w:t>.</w:t>
      </w:r>
    </w:p>
  </w:footnote>
  <w:footnote w:id="45">
    <w:p w:rsidR="00333F61" w:rsidRPr="000B7B96" w:rsidRDefault="00333F61" w:rsidP="00075179">
      <w:pPr>
        <w:pStyle w:val="FootnoteText"/>
        <w:rPr>
          <w:lang w:val="fr-BE"/>
        </w:rPr>
      </w:pPr>
      <w:r>
        <w:rPr>
          <w:rStyle w:val="FootnoteReference"/>
        </w:rPr>
        <w:footnoteRef/>
      </w:r>
      <w:r w:rsidRPr="000B7B96">
        <w:rPr>
          <w:lang w:val="fr-BE"/>
        </w:rPr>
        <w:tab/>
        <w:t xml:space="preserve">Règlement (UE) n° 1290/2013 du Parlement européen et du Conseil du 11 décembre 2013 définissant les règles de participation au programme-cadre pour la recherche et l'innovation "Horizon 2020" (2014-2020) et les règles de diffusion des résultats et abrogeant le règlement (CE) n° 1906/2006 </w:t>
      </w:r>
      <w:r>
        <w:rPr>
          <w:lang w:val="fr-BE"/>
        </w:rPr>
        <w:t>(</w:t>
      </w:r>
      <w:r w:rsidRPr="000B7B96">
        <w:rPr>
          <w:lang w:val="fr-BE"/>
        </w:rPr>
        <w:t>JO L 347 du 20.12.2013, p. 81</w:t>
      </w:r>
      <w:r>
        <w:rPr>
          <w:lang w:val="fr-BE"/>
        </w:rPr>
        <w:t>)</w:t>
      </w:r>
      <w:r w:rsidRPr="000B7B96">
        <w:rPr>
          <w:lang w:val="fr-BE"/>
        </w:rPr>
        <w:t>.</w:t>
      </w:r>
    </w:p>
  </w:footnote>
  <w:footnote w:id="46">
    <w:p w:rsidR="00333F61" w:rsidRPr="000B7B96" w:rsidRDefault="00333F61" w:rsidP="00075179">
      <w:pPr>
        <w:pStyle w:val="FootnoteText"/>
        <w:rPr>
          <w:lang w:val="fr-BE"/>
        </w:rPr>
      </w:pPr>
      <w:r>
        <w:rPr>
          <w:rStyle w:val="FootnoteReference"/>
        </w:rPr>
        <w:footnoteRef/>
      </w:r>
      <w: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47">
    <w:p w:rsidR="00333F61" w:rsidRPr="000B7B96" w:rsidRDefault="00333F61" w:rsidP="00075179">
      <w:pPr>
        <w:pStyle w:val="FootnoteText"/>
      </w:pPr>
      <w:r>
        <w:rPr>
          <w:rStyle w:val="FootnoteReference"/>
        </w:rPr>
        <w:footnoteRef/>
      </w:r>
      <w:r w:rsidRPr="000B7B96">
        <w:rPr>
          <w:lang w:val="fr-BE"/>
        </w:rPr>
        <w:tab/>
      </w:r>
      <w:r w:rsidRPr="000B7B96">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w:t>
      </w:r>
      <w:r>
        <w:t xml:space="preserve"> (</w:t>
      </w:r>
      <w:r w:rsidRPr="000B7B96">
        <w:t>JO L 248 du 18.9.2013, p. 1</w:t>
      </w:r>
      <w:r>
        <w:t>)</w:t>
      </w:r>
      <w:r w:rsidRPr="000B7B96">
        <w:t>.</w:t>
      </w:r>
    </w:p>
  </w:footnote>
  <w:footnote w:id="48">
    <w:p w:rsidR="00333F61" w:rsidRPr="003C7F73" w:rsidRDefault="00333F61" w:rsidP="00075179">
      <w:pPr>
        <w:pStyle w:val="FootnoteText"/>
      </w:pPr>
      <w:r w:rsidRPr="003C7F73">
        <w:rPr>
          <w:rStyle w:val="FootnoteReference"/>
        </w:rPr>
        <w:footnoteRef/>
      </w:r>
      <w:r>
        <w:tab/>
      </w:r>
      <w:r w:rsidRPr="003C7F73">
        <w:t>Non encore paru au Journal officiel.</w:t>
      </w:r>
    </w:p>
  </w:footnote>
  <w:footnote w:id="49">
    <w:p w:rsidR="00333F61" w:rsidRPr="004943DF" w:rsidRDefault="00333F61" w:rsidP="00075179">
      <w:pPr>
        <w:pStyle w:val="FootnoteText"/>
        <w:rPr>
          <w:lang w:val="fr-BE"/>
        </w:rPr>
      </w:pPr>
      <w:r>
        <w:rPr>
          <w:rStyle w:val="FootnoteReference"/>
        </w:rPr>
        <w:footnoteRef/>
      </w:r>
      <w:r>
        <w:rPr>
          <w:lang w:val="fr-BE"/>
        </w:rPr>
        <w:tab/>
        <w:t>Avis du 10 décembre 2013 (non encore paru au Journal officiel).</w:t>
      </w:r>
    </w:p>
  </w:footnote>
  <w:footnote w:id="50">
    <w:p w:rsidR="00333F61" w:rsidRDefault="00333F61" w:rsidP="00075179">
      <w:pPr>
        <w:pStyle w:val="FootnoteText"/>
      </w:pPr>
      <w:r>
        <w:rPr>
          <w:rStyle w:val="FootnoteReference"/>
        </w:rPr>
        <w:footnoteRef/>
      </w:r>
      <w:r>
        <w:tab/>
        <w:t>Position du Parlement européen du 15 avril 2014.</w:t>
      </w:r>
    </w:p>
  </w:footnote>
  <w:footnote w:id="51">
    <w:p w:rsidR="00333F61" w:rsidRPr="00330CFC" w:rsidRDefault="00333F61" w:rsidP="00075179">
      <w:pPr>
        <w:pStyle w:val="FootnoteText"/>
        <w:rPr>
          <w:lang w:val="lt-LT"/>
        </w:rPr>
      </w:pPr>
      <w:r>
        <w:rPr>
          <w:rStyle w:val="FootnoteReference"/>
          <w:i/>
        </w:rPr>
        <w:footnoteRef/>
      </w:r>
      <w:r w:rsidRPr="00DF3424">
        <w:rPr>
          <w:lang w:val="fr-BE"/>
        </w:rPr>
        <w:tab/>
      </w:r>
      <w:r w:rsidRPr="005E6B7E">
        <w:t xml:space="preserve">Règlement (UE) n° 1291/2013 du Parlement européen et du Conseil du 11 décembre 2013 portant établissement du programme-cadre pour la recherche et l'innovation "Horizon 2020" (2014-2020) et abrogeant la décision n° 1982/2006/CE </w:t>
      </w:r>
      <w:r>
        <w:t>(</w:t>
      </w:r>
      <w:r w:rsidRPr="00DF3424">
        <w:rPr>
          <w:b/>
          <w:i/>
          <w:color w:val="000000"/>
          <w:lang w:val="fr-BE"/>
        </w:rPr>
        <w:t>JO L 347 du 20.12.2013, p. 104</w:t>
      </w:r>
      <w:r>
        <w:rPr>
          <w:b/>
          <w:i/>
          <w:color w:val="000000"/>
          <w:lang w:val="fr-BE"/>
        </w:rPr>
        <w:t>).</w:t>
      </w:r>
    </w:p>
  </w:footnote>
  <w:footnote w:id="52">
    <w:p w:rsidR="00333F61" w:rsidRPr="00330CFC" w:rsidRDefault="00333F61" w:rsidP="00075179">
      <w:pPr>
        <w:pStyle w:val="FootnoteText"/>
        <w:rPr>
          <w:lang w:val="lt-LT"/>
        </w:rPr>
      </w:pPr>
      <w:r>
        <w:rPr>
          <w:rStyle w:val="FootnoteReference"/>
        </w:rPr>
        <w:footnoteRef/>
      </w:r>
      <w:r w:rsidRPr="004943DF">
        <w:rPr>
          <w:lang w:val="fr-BE"/>
        </w:rPr>
        <w:tab/>
        <w:t>Décision n° 1209/2003/CE du Parlement européen et du Conseil du 16 juin 2003 relative à la participation de la Communauté à un programme de recherche et développement visant à développer de nouvelles interventions cliniques afin de lutter contre le VIH/sida, le paludisme et la tuberculose grâce à un partenariat à long terme entre l'Europe et les pays en développement, entrepris par plusieurs États membres</w:t>
      </w:r>
      <w:r>
        <w:rPr>
          <w:lang w:val="fr-BE"/>
        </w:rPr>
        <w:t xml:space="preserve"> (</w:t>
      </w:r>
      <w:r w:rsidRPr="004943DF">
        <w:rPr>
          <w:lang w:val="fr-BE"/>
        </w:rPr>
        <w:t>JO L 169 du 8.7.2003, p. 1</w:t>
      </w:r>
      <w:r>
        <w:rPr>
          <w:lang w:val="fr-BE"/>
        </w:rPr>
        <w:t>)</w:t>
      </w:r>
      <w:r w:rsidRPr="004943DF">
        <w:rPr>
          <w:lang w:val="fr-BE"/>
        </w:rPr>
        <w:t>.</w:t>
      </w:r>
    </w:p>
  </w:footnote>
  <w:footnote w:id="53">
    <w:p w:rsidR="00333F61" w:rsidRPr="00330CFC" w:rsidRDefault="00333F61" w:rsidP="00075179">
      <w:pPr>
        <w:pStyle w:val="FootnoteText"/>
        <w:rPr>
          <w:lang w:val="lt-LT"/>
        </w:rPr>
      </w:pPr>
      <w:r>
        <w:rPr>
          <w:rStyle w:val="FootnoteReference"/>
        </w:rPr>
        <w:footnoteRef/>
      </w:r>
      <w:r w:rsidRPr="004943DF">
        <w:rPr>
          <w:lang w:val="fr-BE"/>
        </w:rPr>
        <w:tab/>
        <w:t>Décision n° 1513/2002/CE du Parlement européen et du Conseil du 27 juin 2002 relative au sixième programme-cadre de la Communauté européenne pour des actions de recherche, de développement technologique et de démonstration contribuant à la réalisation de l'espace européen de la recherche et à l'innovation (2002-2006)</w:t>
      </w:r>
      <w:r>
        <w:rPr>
          <w:lang w:val="fr-BE"/>
        </w:rPr>
        <w:t xml:space="preserve"> (</w:t>
      </w:r>
      <w:r w:rsidRPr="004943DF">
        <w:rPr>
          <w:lang w:val="fr-BE"/>
        </w:rPr>
        <w:t>JO L 232 du 29.8.2002, p. 1</w:t>
      </w:r>
      <w:r>
        <w:rPr>
          <w:lang w:val="fr-BE"/>
        </w:rPr>
        <w:t>)</w:t>
      </w:r>
      <w:r w:rsidRPr="004943DF">
        <w:rPr>
          <w:lang w:val="fr-BE"/>
        </w:rPr>
        <w:t>.</w:t>
      </w:r>
    </w:p>
  </w:footnote>
  <w:footnote w:id="54">
    <w:p w:rsidR="00333F61" w:rsidRPr="00330CFC" w:rsidRDefault="00333F61" w:rsidP="00075179">
      <w:pPr>
        <w:pStyle w:val="FootnoteText"/>
        <w:rPr>
          <w:lang w:val="lt-LT"/>
        </w:rPr>
      </w:pPr>
      <w:r>
        <w:rPr>
          <w:rStyle w:val="FootnoteReference"/>
        </w:rPr>
        <w:footnoteRef/>
      </w:r>
      <w:r>
        <w:tab/>
      </w:r>
      <w:r w:rsidRPr="004943DF">
        <w:t>Décision n</w:t>
      </w:r>
      <w:r>
        <w:t>°</w:t>
      </w:r>
      <w:r w:rsidRPr="004943DF">
        <w:t xml:space="preserve"> 1982/2006/CE du Parlement européen et du Conseil du 18 décembre 2006 relative au septième programme-cadre de la Communauté européenne pour des actions de recherche, de développement technologique et de démonstration (2007-2013)</w:t>
      </w:r>
      <w:r>
        <w:t xml:space="preserve"> (JO L 412 du 30.12.2006, p. 1).</w:t>
      </w:r>
    </w:p>
  </w:footnote>
  <w:footnote w:id="55">
    <w:p w:rsidR="00333F61" w:rsidRPr="00C664BF" w:rsidRDefault="00333F61" w:rsidP="00075179">
      <w:pPr>
        <w:pStyle w:val="FootnoteText"/>
        <w:rPr>
          <w:lang w:val="fr-BE"/>
        </w:rPr>
      </w:pPr>
      <w:r>
        <w:rPr>
          <w:rStyle w:val="FootnoteReference"/>
        </w:rPr>
        <w:footnoteRef/>
      </w:r>
      <w:r>
        <w:tab/>
        <w:t>Van Velzen et al., Rapport de l'évaluation externe indépendante, décembre 2009.</w:t>
      </w:r>
    </w:p>
  </w:footnote>
  <w:footnote w:id="56">
    <w:p w:rsidR="00333F61" w:rsidRPr="00330CFC" w:rsidRDefault="00333F61" w:rsidP="00075179">
      <w:pPr>
        <w:pStyle w:val="FootnoteText"/>
        <w:rPr>
          <w:lang w:val="lt-LT"/>
        </w:rPr>
      </w:pPr>
      <w:r>
        <w:rPr>
          <w:rStyle w:val="FootnoteReference"/>
          <w:i/>
        </w:rPr>
        <w:footnoteRef/>
      </w:r>
      <w:r w:rsidRPr="004943DF">
        <w:rPr>
          <w:lang w:val="fr-BE"/>
        </w:rPr>
        <w:tab/>
        <w:t xml:space="preserve">Décision </w:t>
      </w:r>
      <w:r w:rsidRPr="00C63F70">
        <w:rPr>
          <w:b/>
          <w:bCs/>
          <w:i/>
          <w:iCs/>
        </w:rPr>
        <w:t>2013</w:t>
      </w:r>
      <w:r w:rsidRPr="00C63F70">
        <w:rPr>
          <w:b/>
          <w:bCs/>
          <w:i/>
          <w:iCs/>
          <w:color w:val="000000"/>
        </w:rPr>
        <w:t>/743</w:t>
      </w:r>
      <w:r w:rsidRPr="00C63F70">
        <w:t>/</w:t>
      </w:r>
      <w:r w:rsidRPr="00C63F70">
        <w:rPr>
          <w:b/>
          <w:bCs/>
          <w:i/>
          <w:iCs/>
        </w:rPr>
        <w:t>U</w:t>
      </w:r>
      <w:r>
        <w:rPr>
          <w:b/>
          <w:bCs/>
          <w:i/>
          <w:iCs/>
        </w:rPr>
        <w:t>E</w:t>
      </w:r>
      <w:r w:rsidRPr="00FA6474">
        <w:t xml:space="preserve"> </w:t>
      </w:r>
      <w:r w:rsidRPr="004943DF">
        <w:rPr>
          <w:lang w:val="fr-BE"/>
        </w:rPr>
        <w:t>du Conseil du 3 décembre 2013 établissant le programme spécifique d'exécution du programme-cadre pour la recherche et l'innovation "Horizon 2020" (2014-2020) et abrogeant les décisions 2006/971/CE, 2006/972/CE, 2006/973/CE, 2006/974/CE et 2006/975/CE</w:t>
      </w:r>
      <w:r>
        <w:rPr>
          <w:lang w:val="fr-BE"/>
        </w:rPr>
        <w:t xml:space="preserve"> (</w:t>
      </w:r>
      <w:r w:rsidRPr="004943DF">
        <w:rPr>
          <w:b/>
          <w:i/>
          <w:color w:val="000000"/>
          <w:lang w:val="fr-BE"/>
        </w:rPr>
        <w:t>JO L 347 du 20.12.2013, p. 965</w:t>
      </w:r>
      <w:r>
        <w:rPr>
          <w:b/>
          <w:i/>
          <w:color w:val="000000"/>
          <w:lang w:val="fr-BE"/>
        </w:rPr>
        <w:t>)</w:t>
      </w:r>
      <w:r w:rsidRPr="004943DF">
        <w:rPr>
          <w:b/>
          <w:i/>
          <w:color w:val="000000"/>
          <w:lang w:val="fr-BE"/>
        </w:rPr>
        <w:t>.</w:t>
      </w:r>
    </w:p>
  </w:footnote>
  <w:footnote w:id="57">
    <w:p w:rsidR="00333F61" w:rsidRPr="00330CFC" w:rsidRDefault="00333F61" w:rsidP="00075179">
      <w:pPr>
        <w:pStyle w:val="FootnoteText"/>
        <w:rPr>
          <w:lang w:val="lt-LT"/>
        </w:rPr>
      </w:pPr>
      <w:r>
        <w:rPr>
          <w:rStyle w:val="FootnoteReference"/>
        </w:rPr>
        <w:footnoteRef/>
      </w:r>
      <w:r w:rsidRPr="004943DF">
        <w:rPr>
          <w:lang w:val="fr-BE"/>
        </w:rPr>
        <w:tab/>
        <w:t>Règlement (UE, Euratom) n° 966/2012 du Parlement européen et du Conseil du 25 octobre 2012 relatif aux règles financières applicables au budget général de l'Union et abrogeant le règlement (CE, Euratom) n° 1605/2002 du Conseil</w:t>
      </w:r>
      <w:r>
        <w:rPr>
          <w:lang w:val="fr-BE"/>
        </w:rPr>
        <w:t xml:space="preserve"> (</w:t>
      </w:r>
      <w:r w:rsidRPr="004943DF">
        <w:rPr>
          <w:lang w:val="fr-BE"/>
        </w:rPr>
        <w:t>JO L 298 du 26.10.2012, p. 1</w:t>
      </w:r>
      <w:r>
        <w:rPr>
          <w:lang w:val="fr-BE"/>
        </w:rPr>
        <w:t>)</w:t>
      </w:r>
      <w:r w:rsidRPr="004943DF">
        <w:rPr>
          <w:lang w:val="fr-BE"/>
        </w:rPr>
        <w:t>.</w:t>
      </w:r>
    </w:p>
  </w:footnote>
  <w:footnote w:id="58">
    <w:p w:rsidR="00333F61" w:rsidRPr="00330CFC" w:rsidRDefault="00333F61" w:rsidP="00075179">
      <w:pPr>
        <w:pStyle w:val="FootnoteText"/>
        <w:rPr>
          <w:lang w:val="lt-LT"/>
        </w:rPr>
      </w:pPr>
      <w:r>
        <w:rPr>
          <w:rStyle w:val="FootnoteReference"/>
        </w:rPr>
        <w:footnoteRef/>
      </w:r>
      <w:r w:rsidRPr="0062099F">
        <w:rPr>
          <w:lang w:val="fr-BE"/>
        </w:rPr>
        <w:tab/>
        <w:t>Règlement délégué (UE) n° 1268/2012 de la Commission du 29 octobre 2012 relatif aux règles d’application du règlement (UE, Euratom) n ° 966/2012 du Parlement européen et du Conseil relatif aux règles financières applicables au budget général de l’Union</w:t>
      </w:r>
      <w:r>
        <w:rPr>
          <w:lang w:val="fr-BE"/>
        </w:rPr>
        <w:t xml:space="preserve"> (</w:t>
      </w:r>
      <w:r w:rsidRPr="0062099F">
        <w:rPr>
          <w:lang w:val="fr-BE"/>
        </w:rPr>
        <w:t>JO L 362 du 31.12.2012, p. 1</w:t>
      </w:r>
      <w:r>
        <w:rPr>
          <w:lang w:val="fr-BE"/>
        </w:rPr>
        <w:t>)</w:t>
      </w:r>
      <w:r w:rsidRPr="0062099F">
        <w:rPr>
          <w:lang w:val="fr-BE"/>
        </w:rPr>
        <w:t>.</w:t>
      </w:r>
    </w:p>
  </w:footnote>
  <w:footnote w:id="59">
    <w:p w:rsidR="00333F61" w:rsidRPr="00330CFC" w:rsidRDefault="00333F61" w:rsidP="00075179">
      <w:pPr>
        <w:pStyle w:val="FootnoteText"/>
        <w:rPr>
          <w:lang w:val="lt-LT"/>
        </w:rPr>
      </w:pPr>
      <w:r>
        <w:rPr>
          <w:rStyle w:val="FootnoteReference"/>
        </w:rPr>
        <w:footnoteRef/>
      </w:r>
      <w:r w:rsidRPr="0062099F">
        <w:rPr>
          <w:lang w:val="fr-BE"/>
        </w:rPr>
        <w:tab/>
        <w:t>Règlement (UE) n° 1290/2013 du Parlement européen et du Conseil du 11 décembre 2013 définissant les règles de participation au programme-cadre pour la recherche et l'innovation "Horizon 2020" (2014-2020) et les règles de diffusion des résultats et abrogeant le règlement (CE) n° 1906/2006</w:t>
      </w:r>
      <w:r>
        <w:rPr>
          <w:lang w:val="fr-BE"/>
        </w:rPr>
        <w:t xml:space="preserve"> (</w:t>
      </w:r>
      <w:r w:rsidRPr="0062099F">
        <w:rPr>
          <w:lang w:val="fr-BE"/>
        </w:rPr>
        <w:t xml:space="preserve">JO </w:t>
      </w:r>
      <w:r w:rsidRPr="0062099F">
        <w:rPr>
          <w:b/>
          <w:i/>
          <w:color w:val="000000"/>
          <w:lang w:val="fr-BE"/>
        </w:rPr>
        <w:t>L 347 du 20.12.2013, p. 81</w:t>
      </w:r>
      <w:r>
        <w:rPr>
          <w:b/>
          <w:i/>
          <w:color w:val="000000"/>
          <w:lang w:val="fr-BE"/>
        </w:rPr>
        <w:t>).</w:t>
      </w:r>
    </w:p>
  </w:footnote>
  <w:footnote w:id="60">
    <w:p w:rsidR="00333F61" w:rsidRPr="00474589" w:rsidRDefault="00333F61" w:rsidP="00075179">
      <w:pPr>
        <w:pStyle w:val="FootnoteText"/>
        <w:rPr>
          <w:lang w:val="fr-BE"/>
        </w:rPr>
      </w:pPr>
      <w:r>
        <w:rPr>
          <w:rStyle w:val="FootnoteReference"/>
        </w:rPr>
        <w:footnoteRef/>
      </w:r>
      <w:r>
        <w:rPr>
          <w:lang w:val="fr-BE"/>
        </w:rPr>
        <w:tab/>
      </w:r>
      <w:r w:rsidRPr="00474589">
        <w:rPr>
          <w:lang w:val="fr-BE"/>
        </w:rPr>
        <w:t>Règlement (Euratom, CE) n° 2185/96 du Conseil du 11 novembre 1996 relatif aux contrôles et vérifications sur place effectués par la Commission pour la protection des intérêts financiers des Communautés européennes contre les fraudes et autres irrégularités</w:t>
      </w:r>
      <w:r>
        <w:rPr>
          <w:lang w:val="fr-BE"/>
        </w:rPr>
        <w:t xml:space="preserve"> (</w:t>
      </w:r>
      <w:r w:rsidRPr="00474589">
        <w:rPr>
          <w:lang w:val="fr-BE"/>
        </w:rPr>
        <w:t>JO L 292</w:t>
      </w:r>
      <w:r>
        <w:rPr>
          <w:lang w:val="fr-BE"/>
        </w:rPr>
        <w:t xml:space="preserve"> </w:t>
      </w:r>
      <w:r w:rsidRPr="00474589">
        <w:rPr>
          <w:lang w:val="fr-BE"/>
        </w:rPr>
        <w:t>du 15.11.1996, p. 2</w:t>
      </w:r>
      <w:r>
        <w:rPr>
          <w:lang w:val="fr-BE"/>
        </w:rPr>
        <w:t>).</w:t>
      </w:r>
    </w:p>
  </w:footnote>
  <w:footnote w:id="61">
    <w:p w:rsidR="00333F61" w:rsidRPr="00330CFC" w:rsidRDefault="00333F61" w:rsidP="00075179">
      <w:pPr>
        <w:pStyle w:val="FootnoteText"/>
        <w:rPr>
          <w:lang w:val="lt-LT"/>
        </w:rPr>
      </w:pPr>
      <w:r>
        <w:rPr>
          <w:rStyle w:val="FootnoteReference"/>
        </w:rPr>
        <w:footnoteRef/>
      </w:r>
      <w:r w:rsidRPr="00474589">
        <w:rPr>
          <w:lang w:val="fr-BE"/>
        </w:rPr>
        <w:tab/>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w:t>
      </w:r>
      <w:r>
        <w:rPr>
          <w:lang w:val="fr-BE"/>
        </w:rPr>
        <w:t xml:space="preserve"> (</w:t>
      </w:r>
      <w:r w:rsidRPr="00474589">
        <w:rPr>
          <w:lang w:val="fr-BE"/>
        </w:rPr>
        <w:t xml:space="preserve">JO L </w:t>
      </w:r>
      <w:r w:rsidRPr="00474589">
        <w:rPr>
          <w:b/>
          <w:i/>
          <w:color w:val="000000"/>
          <w:lang w:val="fr-BE"/>
        </w:rPr>
        <w:t>248 du 18.9.2013, p. 1</w:t>
      </w:r>
      <w:r>
        <w:rPr>
          <w:b/>
          <w:i/>
          <w:color w:val="000000"/>
          <w:lang w:val="fr-BE"/>
        </w:rPr>
        <w:t>)</w:t>
      </w:r>
      <w:r w:rsidRPr="00474589">
        <w:rPr>
          <w:b/>
          <w:i/>
          <w:color w:val="000000"/>
          <w:lang w:val="fr-BE"/>
        </w:rPr>
        <w:t>.</w:t>
      </w:r>
    </w:p>
  </w:footnote>
  <w:footnote w:id="62">
    <w:p w:rsidR="00333F61" w:rsidRPr="00330CFC" w:rsidRDefault="00333F61" w:rsidP="00075179">
      <w:pPr>
        <w:pStyle w:val="FootnoteText"/>
      </w:pPr>
      <w:r>
        <w:rPr>
          <w:rStyle w:val="FootnoteReference"/>
          <w:i/>
        </w:rPr>
        <w:footnoteRef/>
      </w:r>
      <w:r>
        <w:tab/>
      </w:r>
      <w:r>
        <w:rPr>
          <w:b/>
          <w:i/>
          <w:color w:val="000000"/>
        </w:rPr>
        <w:t>Aux fins de la présente décision, l'expression "interventions médicales" couvre les mesures visant à améliorer ou maintenir l'état de santé ou à modifier le cours d'une maladie, en particulier la prévention et le traitement au moyen de produits médicaux tels que les médicaments, les microbicides ou les vaccins, y compris leur mode d'administration, le suivi du traitement et la prévention dans la population concernée, ainsi que les diagnostics médicaux permettant de détecter et surveiller l'évolution de la maladie/de la santé.</w:t>
      </w:r>
    </w:p>
  </w:footnote>
  <w:footnote w:id="63">
    <w:p w:rsidR="00333F61" w:rsidRDefault="00333F61">
      <w:pPr>
        <w:pStyle w:val="FootnoteText"/>
      </w:pPr>
      <w:r>
        <w:rPr>
          <w:rStyle w:val="FootnoteReference"/>
        </w:rPr>
        <w:footnoteRef/>
      </w:r>
      <w:r>
        <w:tab/>
        <w:t>JO C 191 du 29.6.2012, p. 57.</w:t>
      </w:r>
    </w:p>
  </w:footnote>
  <w:footnote w:id="64">
    <w:p w:rsidR="00333F61" w:rsidRPr="002B2F0B" w:rsidRDefault="00333F61" w:rsidP="00075179">
      <w:pPr>
        <w:pStyle w:val="FootnoteText"/>
      </w:pPr>
      <w:r w:rsidRPr="00FD1A2C">
        <w:rPr>
          <w:rStyle w:val="FootnoteReference"/>
          <w:bCs/>
        </w:rPr>
        <w:footnoteRef/>
      </w:r>
      <w:r>
        <w:rPr>
          <w:rStyle w:val="FootnoteText"/>
          <w:bCs/>
        </w:rPr>
        <w:tab/>
      </w:r>
      <w:r w:rsidRPr="002B2F0B">
        <w:rPr>
          <w:rStyle w:val="FootnoteText"/>
        </w:rPr>
        <w:t xml:space="preserve">JO C </w:t>
      </w:r>
      <w:r w:rsidRPr="002B2F0B">
        <w:rPr>
          <w:rStyle w:val="FootnoteText"/>
          <w:b/>
          <w:bCs/>
          <w:i/>
          <w:iCs/>
        </w:rPr>
        <w:t>191 du 29.6.2012, p. 57</w:t>
      </w:r>
      <w:r w:rsidRPr="002B2F0B">
        <w:rPr>
          <w:rStyle w:val="FootnoteText"/>
        </w:rPr>
        <w:t>.</w:t>
      </w:r>
    </w:p>
  </w:footnote>
  <w:footnote w:id="65">
    <w:p w:rsidR="00333F61" w:rsidRPr="003F0C48" w:rsidRDefault="00333F61" w:rsidP="00075179">
      <w:pPr>
        <w:pStyle w:val="FootnoteText"/>
        <w:rPr>
          <w:lang w:val="fr-BE"/>
        </w:rPr>
      </w:pPr>
      <w:r>
        <w:rPr>
          <w:rStyle w:val="FootnoteReference"/>
        </w:rPr>
        <w:footnoteRef/>
      </w:r>
      <w:r>
        <w:tab/>
      </w:r>
      <w:r>
        <w:rPr>
          <w:lang w:val="fr-BE"/>
        </w:rPr>
        <w:t>Position du Parlement européen du 15 avril 2014.</w:t>
      </w:r>
    </w:p>
  </w:footnote>
  <w:footnote w:id="66">
    <w:p w:rsidR="00333F61" w:rsidRPr="002B2F0B" w:rsidRDefault="00333F61" w:rsidP="00075179">
      <w:pPr>
        <w:pStyle w:val="FootnoteText"/>
      </w:pPr>
      <w:r w:rsidRPr="00FD1A2C">
        <w:rPr>
          <w:rStyle w:val="FootnoteReference"/>
          <w:bCs/>
        </w:rPr>
        <w:footnoteRef/>
      </w:r>
      <w:r>
        <w:rPr>
          <w:rStyle w:val="FootnoteText"/>
        </w:rPr>
        <w:tab/>
      </w:r>
      <w:r w:rsidRPr="002B2F0B">
        <w:rPr>
          <w:rStyle w:val="FootnoteText"/>
        </w:rPr>
        <w:t>JO C 115 du 4.5.2010, p. 1.</w:t>
      </w:r>
    </w:p>
  </w:footnote>
  <w:footnote w:id="67">
    <w:p w:rsidR="00333F61" w:rsidRPr="001E6889" w:rsidRDefault="00333F61" w:rsidP="00075179">
      <w:pPr>
        <w:pStyle w:val="FootnoteText"/>
        <w:rPr>
          <w:b/>
          <w:i/>
        </w:rPr>
      </w:pPr>
      <w:r w:rsidRPr="001E6889">
        <w:rPr>
          <w:rStyle w:val="FootnoteReference"/>
          <w:b/>
          <w:bCs/>
          <w:i/>
        </w:rPr>
        <w:footnoteRef/>
      </w:r>
      <w:r>
        <w:rPr>
          <w:rStyle w:val="FootnoteText"/>
          <w:b/>
          <w:i/>
        </w:rPr>
        <w:tab/>
      </w:r>
      <w:r w:rsidRPr="001E6889">
        <w:rPr>
          <w:rStyle w:val="FootnoteText"/>
          <w:b/>
          <w:i/>
        </w:rPr>
        <w:t>Règlement (CE) nº 1346/2000 du Conseil du 29 mai 2000 relatif aux procédures d'insolvabilité (</w:t>
      </w:r>
      <w:r w:rsidRPr="003F0C48">
        <w:rPr>
          <w:rStyle w:val="FootnoteText"/>
          <w:b/>
          <w:bCs/>
          <w:i/>
          <w:iCs/>
        </w:rPr>
        <w:t>JO L 160 du 30.6.</w:t>
      </w:r>
      <w:r w:rsidRPr="00EB1800">
        <w:rPr>
          <w:rStyle w:val="FootnoteText"/>
          <w:b/>
          <w:bCs/>
          <w:i/>
          <w:iCs/>
        </w:rPr>
        <w:t>2000, p. 1).</w:t>
      </w:r>
    </w:p>
  </w:footnote>
  <w:footnote w:id="68">
    <w:p w:rsidR="00333F61" w:rsidRPr="001E6889" w:rsidRDefault="00333F61" w:rsidP="00075179">
      <w:pPr>
        <w:pStyle w:val="FootnoteText"/>
        <w:rPr>
          <w:b/>
          <w:i/>
          <w:lang w:val="fr-BE"/>
        </w:rPr>
      </w:pPr>
      <w:r w:rsidRPr="001E6889">
        <w:rPr>
          <w:rStyle w:val="FootnoteReference"/>
          <w:b/>
          <w:bCs/>
          <w:i/>
        </w:rPr>
        <w:footnoteRef/>
      </w:r>
      <w:r>
        <w:rPr>
          <w:rStyle w:val="FootnoteText"/>
          <w:b/>
          <w:i/>
          <w:lang w:val="fr-BE"/>
        </w:rPr>
        <w:tab/>
      </w:r>
      <w:r w:rsidRPr="001E6889">
        <w:rPr>
          <w:rStyle w:val="FootnoteText"/>
          <w:b/>
          <w:i/>
          <w:lang w:val="fr-BE"/>
        </w:rPr>
        <w:t>Règlement (CEE, Euratom) n° 1182/71 du Conseil, du 3 juin 1971, portant détermination des règles applicables aux délais, aux dates et aux termes (JO L 124 du 8.6.1971, p. 1).</w:t>
      </w:r>
    </w:p>
  </w:footnote>
  <w:footnote w:id="69">
    <w:p w:rsidR="00333F61" w:rsidRPr="001E6889" w:rsidRDefault="00333F61" w:rsidP="00075179">
      <w:pPr>
        <w:pStyle w:val="FootnoteText"/>
        <w:rPr>
          <w:b/>
          <w:i/>
          <w:lang w:val="fr-BE"/>
        </w:rPr>
      </w:pPr>
      <w:r w:rsidRPr="001E6889">
        <w:rPr>
          <w:rStyle w:val="FootnoteReference"/>
          <w:b/>
          <w:bCs/>
          <w:i/>
        </w:rPr>
        <w:footnoteRef/>
      </w:r>
      <w:r>
        <w:rPr>
          <w:rStyle w:val="FootnoteText"/>
          <w:b/>
          <w:i/>
          <w:lang w:val="fr-BE"/>
        </w:rPr>
        <w:tab/>
      </w:r>
      <w:r w:rsidRPr="001E6889">
        <w:rPr>
          <w:rStyle w:val="FootnoteText"/>
          <w:b/>
          <w:i/>
          <w:lang w:val="fr-BE"/>
        </w:rPr>
        <w:t>Règlement (UE) no 182/2011 du Parlement Européen et du Conseil du 16 février 2011 établissant les règles et principes généraux relatifs aux modalités de contrôle par les États membres de l’exercice des compétences d’exécution par la Commission (</w:t>
      </w:r>
      <w:r w:rsidRPr="00B840A8">
        <w:rPr>
          <w:rStyle w:val="FootnoteText"/>
          <w:b/>
          <w:bCs/>
          <w:i/>
          <w:iCs/>
          <w:lang w:val="fr-BE"/>
        </w:rPr>
        <w:t>JO L 55 du 28.2.2011, p. 13)</w:t>
      </w:r>
      <w:r w:rsidRPr="00E27209">
        <w:rPr>
          <w:rStyle w:val="FootnoteText"/>
          <w:b/>
          <w:bCs/>
          <w:i/>
          <w:iCs/>
          <w:lang w:val="fr-BE"/>
        </w:rPr>
        <w:t>.</w:t>
      </w:r>
    </w:p>
  </w:footnote>
  <w:footnote w:id="70">
    <w:p w:rsidR="00333F61" w:rsidRPr="006A11A4" w:rsidRDefault="00333F61" w:rsidP="00075179">
      <w:pPr>
        <w:pStyle w:val="FootnoteText"/>
        <w:tabs>
          <w:tab w:val="left" w:pos="491"/>
        </w:tabs>
        <w:rPr>
          <w:lang w:val="fr-BE"/>
        </w:rPr>
      </w:pPr>
      <w:r w:rsidRPr="00FD1A2C">
        <w:rPr>
          <w:rStyle w:val="FootnoteReference"/>
          <w:bCs/>
        </w:rPr>
        <w:footnoteRef/>
      </w:r>
      <w:r>
        <w:rPr>
          <w:rStyle w:val="FootnoteText"/>
          <w:lang w:val="fr-BE"/>
        </w:rPr>
        <w:tab/>
      </w:r>
      <w:r w:rsidRPr="006A11A4">
        <w:rPr>
          <w:rStyle w:val="FootnoteText"/>
          <w:lang w:val="fr-BE"/>
        </w:rPr>
        <w:t>Directive 95/46/CE du Parlement européen et du Conseil, du 24 octobre 1995, relative à la protection des personnes physiques à l'égard du traitement des données à caractère personnel et à la libre circulation de ces données</w:t>
      </w:r>
      <w:r>
        <w:rPr>
          <w:rStyle w:val="FootnoteText"/>
          <w:lang w:val="fr-BE"/>
        </w:rPr>
        <w:t xml:space="preserve"> (</w:t>
      </w:r>
      <w:r w:rsidRPr="006A11A4">
        <w:rPr>
          <w:rStyle w:val="FootnoteText"/>
          <w:lang w:val="fr-BE"/>
        </w:rPr>
        <w:t>JO L 281 du 23.11.1995, p. 31</w:t>
      </w:r>
      <w:r>
        <w:rPr>
          <w:rStyle w:val="FootnoteText"/>
          <w:lang w:val="fr-BE"/>
        </w:rPr>
        <w:t>)</w:t>
      </w:r>
      <w:r w:rsidRPr="006A11A4">
        <w:rPr>
          <w:rStyle w:val="FootnoteText"/>
          <w:lang w:val="fr-BE"/>
        </w:rPr>
        <w:t xml:space="preserve">. </w:t>
      </w:r>
    </w:p>
  </w:footnote>
  <w:footnote w:id="71">
    <w:p w:rsidR="00333F61" w:rsidRDefault="00333F61" w:rsidP="00075179">
      <w:pPr>
        <w:pStyle w:val="FootnoteText"/>
      </w:pPr>
      <w:r w:rsidRPr="000E092F">
        <w:rPr>
          <w:rStyle w:val="FootnoteReference"/>
          <w:bCs/>
        </w:rPr>
        <w:footnoteRef/>
      </w:r>
      <w:r>
        <w:rPr>
          <w:rStyle w:val="FootnoteText"/>
        </w:rPr>
        <w:tab/>
      </w:r>
      <w:r w:rsidRPr="009B5C10">
        <w:rPr>
          <w:rStyle w:val="FootnoteText"/>
          <w:b/>
          <w:bCs/>
          <w:i/>
          <w:iCs/>
        </w:rPr>
        <w:t>JO C 373 du 21.12.2011, p. 4.</w:t>
      </w:r>
    </w:p>
  </w:footnote>
  <w:footnote w:id="72">
    <w:p w:rsidR="00333F61" w:rsidRPr="00247FD2" w:rsidRDefault="00333F61" w:rsidP="00075179">
      <w:pPr>
        <w:pStyle w:val="FootnoteText"/>
        <w:spacing w:before="40" w:after="40"/>
        <w:rPr>
          <w:bCs/>
        </w:rPr>
      </w:pPr>
      <w:r w:rsidRPr="000E092F">
        <w:rPr>
          <w:rStyle w:val="FootnoteReference"/>
          <w:bCs/>
        </w:rPr>
        <w:footnoteRef/>
      </w:r>
      <w:r w:rsidRPr="00247FD2">
        <w:rPr>
          <w:bCs/>
        </w:rPr>
        <w:tab/>
      </w:r>
      <w:r w:rsidRPr="009B5C10">
        <w:rPr>
          <w:b/>
          <w:i/>
          <w:iCs/>
        </w:rPr>
        <w:t>Directive 98/26/CE du Parlement européen et du Conseil du 19 mai 19</w:t>
      </w:r>
      <w:r>
        <w:rPr>
          <w:b/>
          <w:i/>
          <w:iCs/>
        </w:rPr>
        <w:t>9</w:t>
      </w:r>
      <w:r w:rsidRPr="009B5C10">
        <w:rPr>
          <w:b/>
          <w:i/>
          <w:iCs/>
        </w:rPr>
        <w:t>8 concernant le caractère définitif du règlement dans les systèmes de paiement et de règlement des opérations sur titres (JO L 166 du 11.6.1998, p. 45).</w:t>
      </w:r>
    </w:p>
  </w:footnote>
  <w:footnote w:id="73">
    <w:p w:rsidR="00333F61" w:rsidRPr="00247FD2" w:rsidRDefault="00333F61" w:rsidP="00075179">
      <w:pPr>
        <w:pStyle w:val="FootnoteText"/>
        <w:spacing w:before="40" w:after="40"/>
        <w:rPr>
          <w:bCs/>
        </w:rPr>
      </w:pPr>
      <w:r w:rsidRPr="000E092F">
        <w:rPr>
          <w:rStyle w:val="FootnoteReference"/>
          <w:bCs/>
        </w:rPr>
        <w:footnoteRef/>
      </w:r>
      <w:r w:rsidRPr="00247FD2">
        <w:rPr>
          <w:bCs/>
        </w:rPr>
        <w:tab/>
      </w:r>
      <w:r w:rsidRPr="009B5C10">
        <w:rPr>
          <w:b/>
          <w:i/>
          <w:iCs/>
        </w:rPr>
        <w:t>Règlement (UE) n° 575/2013 du Parlement européen et du Conseil du 26 juin 2013 concernant les exigences prudentielles applicables aux établissements de crédit et aux entreprises d'investissement et modifiant le règlement (UE) n° 648/2012 (JO L 176 du 27.6.2013, p. 1).</w:t>
      </w:r>
    </w:p>
  </w:footnote>
  <w:footnote w:id="74">
    <w:p w:rsidR="00333F61" w:rsidRPr="00247FD2" w:rsidRDefault="00333F61" w:rsidP="00075179">
      <w:pPr>
        <w:pStyle w:val="FootnoteText"/>
        <w:rPr>
          <w:bCs/>
        </w:rPr>
      </w:pPr>
      <w:r w:rsidRPr="000E092F">
        <w:rPr>
          <w:rStyle w:val="FootnoteReference"/>
          <w:bCs/>
        </w:rPr>
        <w:footnoteRef/>
      </w:r>
      <w:r w:rsidRPr="00247FD2">
        <w:rPr>
          <w:bCs/>
        </w:rPr>
        <w:tab/>
      </w:r>
      <w:r w:rsidRPr="009B5C10">
        <w:rPr>
          <w:b/>
          <w:i/>
          <w:iCs/>
        </w:rPr>
        <w:t>Directive 2013/36/UE du Parlement européen et du Conseil du 26 juin 2013 concernant l'accès</w:t>
      </w:r>
      <w:r>
        <w:rPr>
          <w:b/>
          <w:i/>
          <w:iCs/>
        </w:rPr>
        <w:t xml:space="preserve"> à </w:t>
      </w:r>
      <w:r w:rsidRPr="009B5C10">
        <w:rPr>
          <w:b/>
          <w:i/>
          <w:iCs/>
        </w:rPr>
        <w:t>l'activité des établissements de crédit et la surveillance prudentielle des établissements de crédit et des entreprises d'investissement, modifiant la directive 2002/87/CE et abrogeant les directives 2006/48/CE et 2006/49/CE (JO L 176 du 27.6.2013, p. 338).</w:t>
      </w:r>
    </w:p>
  </w:footnote>
  <w:footnote w:id="75">
    <w:p w:rsidR="00333F61" w:rsidRPr="00247FD2" w:rsidRDefault="00333F61" w:rsidP="00075179">
      <w:pPr>
        <w:pStyle w:val="FootnoteText"/>
        <w:spacing w:before="40" w:after="40"/>
        <w:rPr>
          <w:bCs/>
        </w:rPr>
      </w:pPr>
      <w:r w:rsidRPr="000E092F">
        <w:rPr>
          <w:rStyle w:val="FootnoteReference"/>
          <w:bCs/>
        </w:rPr>
        <w:footnoteRef/>
      </w:r>
      <w:r w:rsidRPr="00247FD2">
        <w:rPr>
          <w:bCs/>
        </w:rPr>
        <w:tab/>
      </w:r>
      <w:r w:rsidRPr="009B5C10">
        <w:rPr>
          <w:b/>
          <w:i/>
          <w:iCs/>
        </w:rPr>
        <w:t>Règlement (UE) n° 1215/2012 du Parlement européen et du Conseil du 12 décembre 2012 concernant la compétence judiciaire, la reconnaissance et l'exécution des décisions en matière civile et commerciale</w:t>
      </w:r>
      <w:r>
        <w:rPr>
          <w:b/>
          <w:i/>
          <w:iCs/>
        </w:rPr>
        <w:t xml:space="preserve"> </w:t>
      </w:r>
      <w:r w:rsidRPr="009B5C10">
        <w:rPr>
          <w:b/>
          <w:i/>
          <w:iCs/>
        </w:rPr>
        <w:t>(JO L 351 du 20.12.2012, p. 1).</w:t>
      </w:r>
    </w:p>
  </w:footnote>
  <w:footnote w:id="76">
    <w:p w:rsidR="00333F61" w:rsidRPr="00247FD2" w:rsidRDefault="00333F61" w:rsidP="00075179">
      <w:pPr>
        <w:pStyle w:val="FootnoteText"/>
        <w:rPr>
          <w:bCs/>
        </w:rPr>
      </w:pPr>
      <w:r w:rsidRPr="000E092F">
        <w:rPr>
          <w:rStyle w:val="FootnoteReference"/>
          <w:bCs/>
        </w:rPr>
        <w:footnoteRef/>
      </w:r>
      <w:r w:rsidRPr="00247FD2">
        <w:rPr>
          <w:bCs/>
        </w:rPr>
        <w:tab/>
      </w:r>
      <w:r w:rsidRPr="009B5C10">
        <w:rPr>
          <w:b/>
          <w:i/>
          <w:iCs/>
        </w:rPr>
        <w:t>Règlement (CE) n° 864/2007 du Parlement européen et du Conseil du 11 juillet 2007 sur la loi applicable aux obligations non contractuelles (Rome II) (JO L 199 du 31.7.2007, p.</w:t>
      </w:r>
      <w:r>
        <w:rPr>
          <w:b/>
          <w:i/>
          <w:iCs/>
        </w:rPr>
        <w:t xml:space="preserve"> </w:t>
      </w:r>
      <w:r w:rsidRPr="009B5C10">
        <w:rPr>
          <w:b/>
          <w:i/>
          <w:iCs/>
        </w:rPr>
        <w:t xml:space="preserve">40). </w:t>
      </w:r>
    </w:p>
  </w:footnote>
  <w:footnote w:id="77">
    <w:p w:rsidR="00333F61" w:rsidRPr="00247FD2" w:rsidRDefault="00333F61" w:rsidP="00075179">
      <w:pPr>
        <w:pStyle w:val="FootnoteText"/>
        <w:rPr>
          <w:bCs/>
        </w:rPr>
      </w:pPr>
      <w:r w:rsidRPr="000E092F">
        <w:rPr>
          <w:rStyle w:val="FootnoteReference"/>
          <w:bCs/>
        </w:rPr>
        <w:footnoteRef/>
      </w:r>
      <w:r w:rsidRPr="00247FD2">
        <w:rPr>
          <w:bCs/>
        </w:rPr>
        <w:tab/>
      </w:r>
      <w:r w:rsidRPr="00176012">
        <w:rPr>
          <w:b/>
          <w:i/>
          <w:iCs/>
        </w:rPr>
        <w:t>Règlement (CE) n° 1393/2007 du Parlement europé</w:t>
      </w:r>
      <w:r>
        <w:rPr>
          <w:b/>
          <w:i/>
          <w:iCs/>
        </w:rPr>
        <w:t>en et du Conseil du 13 novembre </w:t>
      </w:r>
      <w:r w:rsidRPr="00176012">
        <w:rPr>
          <w:b/>
          <w:i/>
          <w:iCs/>
        </w:rPr>
        <w:t>2007 relatif</w:t>
      </w:r>
      <w:r>
        <w:rPr>
          <w:b/>
          <w:i/>
          <w:iCs/>
        </w:rPr>
        <w:t xml:space="preserve"> à </w:t>
      </w:r>
      <w:r w:rsidRPr="00176012">
        <w:rPr>
          <w:b/>
          <w:i/>
          <w:iCs/>
        </w:rPr>
        <w:t>la signification et</w:t>
      </w:r>
      <w:r>
        <w:rPr>
          <w:b/>
          <w:i/>
          <w:iCs/>
        </w:rPr>
        <w:t xml:space="preserve"> à </w:t>
      </w:r>
      <w:r w:rsidRPr="00176012">
        <w:rPr>
          <w:b/>
          <w:i/>
          <w:iCs/>
        </w:rPr>
        <w:t>la notification dans les États membres des actes judiciaires et extrajudiciaires en matière civile ou commerciale ("signification ou notification des actes"), et abrogeant le règlement (CE) n° 1348/2000 du Conseil (JO L 324 du 10.12.2007, p. 79).</w:t>
      </w:r>
    </w:p>
  </w:footnote>
  <w:footnote w:id="78">
    <w:p w:rsidR="00333F61" w:rsidRPr="00247FD2" w:rsidRDefault="00333F61" w:rsidP="00075179">
      <w:pPr>
        <w:pStyle w:val="FootnoteText"/>
        <w:rPr>
          <w:bCs/>
        </w:rPr>
      </w:pPr>
      <w:r w:rsidRPr="000E092F">
        <w:rPr>
          <w:rStyle w:val="FootnoteReference"/>
          <w:bCs/>
        </w:rPr>
        <w:footnoteRef/>
      </w:r>
      <w:r w:rsidRPr="00247FD2">
        <w:rPr>
          <w:bCs/>
        </w:rPr>
        <w:tab/>
      </w:r>
      <w:r w:rsidRPr="00176012">
        <w:rPr>
          <w:b/>
          <w:i/>
          <w:iCs/>
        </w:rPr>
        <w:t>Règlement (CE) n° 1206/2001 du Conseil du 28 mai 2001 relatif</w:t>
      </w:r>
      <w:r>
        <w:rPr>
          <w:b/>
          <w:i/>
          <w:iCs/>
        </w:rPr>
        <w:t xml:space="preserve"> à </w:t>
      </w:r>
      <w:r w:rsidRPr="00176012">
        <w:rPr>
          <w:b/>
          <w:i/>
          <w:iCs/>
        </w:rPr>
        <w:t>la coopération entre les juridictions des États membres dans le domaine de l'obtention des preuves en matière civile ou commerciale (JO L 174 du 27.6.2001, p. 1).</w:t>
      </w:r>
    </w:p>
  </w:footnote>
  <w:footnote w:id="79">
    <w:p w:rsidR="00333F61" w:rsidRPr="00B042C4" w:rsidRDefault="00333F61" w:rsidP="00075179">
      <w:pPr>
        <w:pStyle w:val="FootnoteText"/>
        <w:rPr>
          <w:lang w:val="fr-BE"/>
        </w:rPr>
      </w:pPr>
      <w:r>
        <w:rPr>
          <w:rStyle w:val="FootnoteReference"/>
        </w:rPr>
        <w:t>*</w:t>
      </w:r>
      <w:r>
        <w:tab/>
        <w:t>JO: prière d'insérer la date: 24 mois après la date d’entrée en vigueur du présent règlement.</w:t>
      </w:r>
    </w:p>
  </w:footnote>
  <w:footnote w:id="80">
    <w:p w:rsidR="00333F61" w:rsidRPr="00B042C4" w:rsidRDefault="00333F61" w:rsidP="00075179">
      <w:pPr>
        <w:pStyle w:val="FootnoteText"/>
        <w:rPr>
          <w:lang w:val="fr-BE"/>
        </w:rPr>
      </w:pPr>
      <w:r>
        <w:rPr>
          <w:rStyle w:val="FootnoteReference"/>
        </w:rPr>
        <w:t>*</w:t>
      </w:r>
      <w:r>
        <w:tab/>
      </w:r>
      <w:r>
        <w:rPr>
          <w:lang w:val="fr-BE"/>
        </w:rPr>
        <w:t>JO: prière d'insérer la date: 90 mois après la date d'entrée en vigueur du présent règlement.</w:t>
      </w:r>
    </w:p>
  </w:footnote>
  <w:footnote w:id="81">
    <w:p w:rsidR="00333F61" w:rsidRPr="00B042C4" w:rsidRDefault="00333F61" w:rsidP="00075179">
      <w:pPr>
        <w:pStyle w:val="FootnoteText"/>
        <w:rPr>
          <w:lang w:val="fr-BE"/>
        </w:rPr>
      </w:pPr>
      <w:r>
        <w:rPr>
          <w:rStyle w:val="FootnoteReference"/>
        </w:rPr>
        <w:t>*</w:t>
      </w:r>
      <w:r>
        <w:tab/>
      </w:r>
      <w:r>
        <w:rPr>
          <w:lang w:val="fr-BE"/>
        </w:rPr>
        <w:t>JO: prière d'insérer la date: 30 mois après la date d'entrée en vigueur du présent règlement.</w:t>
      </w:r>
    </w:p>
  </w:footnote>
  <w:footnote w:id="82">
    <w:p w:rsidR="00333F61" w:rsidRPr="00B042C4" w:rsidRDefault="00333F61" w:rsidP="00075179">
      <w:pPr>
        <w:pStyle w:val="FootnoteText"/>
        <w:rPr>
          <w:lang w:val="fr-BE"/>
        </w:rPr>
      </w:pPr>
      <w:r>
        <w:rPr>
          <w:rStyle w:val="FootnoteReference"/>
        </w:rPr>
        <w:t>**</w:t>
      </w:r>
      <w:r>
        <w:tab/>
      </w:r>
      <w:r>
        <w:rPr>
          <w:lang w:val="fr-BE"/>
        </w:rPr>
        <w:t>JO: prière d'insérer la date: 24 mois après la date d’'entrée en vigueur du présent règlement.</w:t>
      </w:r>
    </w:p>
  </w:footnote>
  <w:footnote w:id="83">
    <w:p w:rsidR="00333F61" w:rsidRPr="00BD7BB6" w:rsidRDefault="00333F61" w:rsidP="00075179">
      <w:pPr>
        <w:pStyle w:val="FootnoteText"/>
      </w:pPr>
      <w:r w:rsidRPr="00BD7BB6">
        <w:rPr>
          <w:rStyle w:val="FootnoteReference"/>
        </w:rPr>
        <w:footnoteRef/>
      </w:r>
      <w:r>
        <w:tab/>
      </w:r>
      <w:r w:rsidRPr="00BD7BB6">
        <w:t>JO C 327 du 12.11.2013, p.47.</w:t>
      </w:r>
    </w:p>
  </w:footnote>
  <w:footnote w:id="84">
    <w:p w:rsidR="00333F61" w:rsidRPr="00B24985" w:rsidRDefault="00333F61" w:rsidP="00075179">
      <w:pPr>
        <w:pStyle w:val="FootnoteText"/>
        <w:spacing w:line="240" w:lineRule="auto"/>
        <w:ind w:left="709" w:hanging="709"/>
      </w:pPr>
      <w:r w:rsidRPr="00B24985">
        <w:rPr>
          <w:rStyle w:val="FootnoteReference"/>
        </w:rPr>
        <w:sym w:font="Symbol" w:char="F02A"/>
      </w:r>
      <w:r w:rsidRPr="00B24985">
        <w:tab/>
      </w:r>
      <w:r>
        <w:t xml:space="preserve">LE </w:t>
      </w:r>
      <w:r w:rsidRPr="00B24985">
        <w:t>TEXTE N'A PAS ENCORE FAIT L'OBJET D'UNE FINALISATION JURIDICO-LINGUISTIQUE.</w:t>
      </w:r>
    </w:p>
  </w:footnote>
  <w:footnote w:id="85">
    <w:p w:rsidR="00333F61" w:rsidRPr="00B24985" w:rsidRDefault="00333F61" w:rsidP="00075179">
      <w:pPr>
        <w:pStyle w:val="FootnoteText"/>
        <w:spacing w:line="240" w:lineRule="auto"/>
        <w:ind w:left="709" w:hanging="709"/>
        <w:rPr>
          <w:rFonts w:ascii="Arial" w:hAnsi="Arial"/>
        </w:rPr>
      </w:pPr>
      <w:r w:rsidRPr="000D1D24">
        <w:rPr>
          <w:rStyle w:val="FootnoteReference"/>
        </w:rPr>
        <w:footnoteRef/>
      </w:r>
      <w:r w:rsidRPr="00B24985">
        <w:tab/>
        <w:t>JO C 327 du 12.11.2013, p. 47.</w:t>
      </w:r>
    </w:p>
  </w:footnote>
  <w:footnote w:id="86">
    <w:p w:rsidR="00333F61" w:rsidRPr="00B24985" w:rsidRDefault="00333F61" w:rsidP="00075179">
      <w:pPr>
        <w:pStyle w:val="FootnoteText"/>
        <w:spacing w:line="240" w:lineRule="auto"/>
        <w:ind w:left="709" w:hanging="709"/>
      </w:pPr>
      <w:r w:rsidRPr="00B24985">
        <w:rPr>
          <w:rStyle w:val="FootnoteReference"/>
        </w:rPr>
        <w:footnoteRef/>
      </w:r>
      <w:r w:rsidRPr="00B24985">
        <w:tab/>
        <w:t xml:space="preserve">Position du Parlement européen du </w:t>
      </w:r>
      <w:r>
        <w:t>15 avril 2014.</w:t>
      </w:r>
    </w:p>
  </w:footnote>
  <w:footnote w:id="87">
    <w:p w:rsidR="00333F61" w:rsidRPr="009D3C43" w:rsidRDefault="00333F61" w:rsidP="00075179">
      <w:pPr>
        <w:ind w:left="709" w:hanging="709"/>
      </w:pPr>
      <w:r w:rsidRPr="00312018">
        <w:rPr>
          <w:rStyle w:val="FootnoteReference"/>
          <w:szCs w:val="24"/>
        </w:rPr>
        <w:footnoteRef/>
      </w:r>
      <w:r w:rsidRPr="002C5D9C">
        <w:rPr>
          <w:szCs w:val="24"/>
        </w:rPr>
        <w:tab/>
      </w:r>
      <w:r w:rsidRPr="009D3C43">
        <w:rPr>
          <w:szCs w:val="24"/>
        </w:rPr>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Texte présentant de l'intérêt pour l'EEE (</w:t>
      </w:r>
      <w:r w:rsidRPr="009D3C43">
        <w:rPr>
          <w:i/>
          <w:iCs/>
          <w:szCs w:val="24"/>
        </w:rPr>
        <w:t>JO L 182 du 29.6.2013, p. 19).</w:t>
      </w:r>
    </w:p>
  </w:footnote>
  <w:footnote w:id="88">
    <w:p w:rsidR="00333F61" w:rsidRPr="00B24985" w:rsidRDefault="00333F61" w:rsidP="00075179">
      <w:pPr>
        <w:pStyle w:val="FootnoteText"/>
        <w:spacing w:line="240" w:lineRule="auto"/>
        <w:ind w:left="709" w:hanging="709"/>
        <w:rPr>
          <w:rFonts w:ascii="Arial" w:hAnsi="Arial"/>
        </w:rPr>
      </w:pPr>
      <w:r w:rsidRPr="000D1D24">
        <w:rPr>
          <w:rStyle w:val="FootnoteReference"/>
          <w:b/>
          <w:i/>
        </w:rPr>
        <w:footnoteRef/>
      </w:r>
      <w:r w:rsidRPr="00B24985">
        <w:tab/>
      </w:r>
      <w:r w:rsidRPr="00B24985">
        <w:rPr>
          <w:b/>
          <w:i/>
        </w:rPr>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89">
    <w:p w:rsidR="00333F61" w:rsidRPr="00B24985" w:rsidRDefault="00333F61" w:rsidP="00075179">
      <w:pPr>
        <w:pStyle w:val="FootnoteText"/>
        <w:spacing w:line="240" w:lineRule="auto"/>
        <w:ind w:left="709" w:hanging="709"/>
        <w:rPr>
          <w:rFonts w:ascii="Arial" w:hAnsi="Arial"/>
        </w:rPr>
      </w:pPr>
      <w:r w:rsidRPr="000D1D24">
        <w:rPr>
          <w:rStyle w:val="FootnoteReference"/>
        </w:rPr>
        <w:footnoteRef/>
      </w:r>
      <w:r>
        <w:tab/>
        <w:t>JO</w:t>
      </w:r>
      <w:r w:rsidRPr="00B24985">
        <w:t>: prière d’insérer la date : deux ans après la date d'entrée en vigueur de la présente directive.</w:t>
      </w:r>
    </w:p>
  </w:footnote>
  <w:footnote w:id="90">
    <w:p w:rsidR="00333F61" w:rsidRPr="00B24985" w:rsidRDefault="00333F61" w:rsidP="00075179">
      <w:pPr>
        <w:pStyle w:val="FootnoteText"/>
        <w:spacing w:line="240" w:lineRule="auto"/>
        <w:ind w:left="709" w:hanging="709"/>
        <w:rPr>
          <w:rFonts w:ascii="Arial" w:hAnsi="Arial"/>
        </w:rPr>
      </w:pPr>
      <w:r w:rsidRPr="000D1D24">
        <w:rPr>
          <w:rStyle w:val="FootnoteReference"/>
        </w:rPr>
        <w:footnoteRef/>
      </w:r>
      <w:r w:rsidRPr="00B24985">
        <w:tab/>
      </w:r>
      <w:r w:rsidRPr="00B24985">
        <w:rPr>
          <w:b/>
          <w:i/>
          <w:shd w:val="clear" w:color="auto" w:fill="FFFFFF"/>
        </w:rPr>
        <w:t>Première</w:t>
      </w:r>
      <w:r w:rsidRPr="00B24985">
        <w:rPr>
          <w:shd w:val="clear" w:color="auto" w:fill="FFFFFF"/>
        </w:rPr>
        <w:t xml:space="preserve"> année après l’expiration du délai de transposition.</w:t>
      </w:r>
    </w:p>
  </w:footnote>
  <w:footnote w:id="91">
    <w:p w:rsidR="00333F61" w:rsidRPr="00B24985" w:rsidRDefault="00333F61" w:rsidP="00075179">
      <w:pPr>
        <w:pStyle w:val="FootnoteText"/>
        <w:spacing w:line="240" w:lineRule="auto"/>
        <w:ind w:left="709" w:hanging="709"/>
        <w:rPr>
          <w:rFonts w:ascii="Arial" w:hAnsi="Arial"/>
        </w:rPr>
      </w:pPr>
      <w:r w:rsidRPr="00B24985">
        <w:rPr>
          <w:rStyle w:val="FootnoteReference"/>
        </w:rPr>
        <w:footnoteRef/>
      </w:r>
      <w:r w:rsidRPr="00B24985">
        <w:tab/>
      </w:r>
      <w:r w:rsidRPr="00B24985">
        <w:rPr>
          <w:b/>
          <w:i/>
          <w:shd w:val="clear" w:color="auto" w:fill="FFFFFF"/>
        </w:rPr>
        <w:t>Première</w:t>
      </w:r>
      <w:r w:rsidRPr="00B24985">
        <w:rPr>
          <w:shd w:val="clear" w:color="auto" w:fill="FFFFFF"/>
        </w:rPr>
        <w:t xml:space="preserve"> année après l’expiration du délai de transposition.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53812" w:rsidRDefault="00333F61" w:rsidP="00075179">
    <w:pPr>
      <w:pStyle w:val="HeaderCouncilLarge"/>
    </w:pPr>
    <w:r>
      <w:t>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53812" w:rsidRDefault="00333F61" w:rsidP="00075179">
    <w:pPr>
      <w:pStyle w:val="HeaderCouncilLarge"/>
    </w:pPr>
    <w:r>
      <w:t>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53812" w:rsidRDefault="00333F61" w:rsidP="00075179">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53812" w:rsidRDefault="00333F61" w:rsidP="00075179">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Pr="00253812" w:rsidRDefault="00333F61" w:rsidP="00075179">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61" w:rsidRDefault="00333F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EC9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CEE334A"/>
    <w:lvl w:ilvl="0">
      <w:start w:val="1"/>
      <w:numFmt w:val="decimal"/>
      <w:lvlText w:val="%1."/>
      <w:lvlJc w:val="left"/>
      <w:pPr>
        <w:tabs>
          <w:tab w:val="num" w:pos="1492"/>
        </w:tabs>
        <w:ind w:left="1492" w:hanging="360"/>
      </w:pPr>
    </w:lvl>
  </w:abstractNum>
  <w:abstractNum w:abstractNumId="2">
    <w:nsid w:val="FFFFFF7D"/>
    <w:multiLevelType w:val="singleLevel"/>
    <w:tmpl w:val="7292AF5C"/>
    <w:lvl w:ilvl="0">
      <w:start w:val="1"/>
      <w:numFmt w:val="decimal"/>
      <w:lvlText w:val="%1."/>
      <w:lvlJc w:val="left"/>
      <w:pPr>
        <w:tabs>
          <w:tab w:val="num" w:pos="1209"/>
        </w:tabs>
        <w:ind w:left="1209" w:hanging="360"/>
      </w:pPr>
    </w:lvl>
  </w:abstractNum>
  <w:abstractNum w:abstractNumId="3">
    <w:nsid w:val="FFFFFF7E"/>
    <w:multiLevelType w:val="singleLevel"/>
    <w:tmpl w:val="FA76087A"/>
    <w:lvl w:ilvl="0">
      <w:start w:val="1"/>
      <w:numFmt w:val="decimal"/>
      <w:lvlText w:val="%1."/>
      <w:lvlJc w:val="left"/>
      <w:pPr>
        <w:tabs>
          <w:tab w:val="num" w:pos="926"/>
        </w:tabs>
        <w:ind w:left="926" w:hanging="360"/>
      </w:pPr>
    </w:lvl>
  </w:abstractNum>
  <w:abstractNum w:abstractNumId="4">
    <w:nsid w:val="FFFFFF7F"/>
    <w:multiLevelType w:val="singleLevel"/>
    <w:tmpl w:val="1CFAFBB2"/>
    <w:lvl w:ilvl="0">
      <w:start w:val="1"/>
      <w:numFmt w:val="decimal"/>
      <w:lvlText w:val="%1."/>
      <w:lvlJc w:val="left"/>
      <w:pPr>
        <w:tabs>
          <w:tab w:val="num" w:pos="643"/>
        </w:tabs>
        <w:ind w:left="643" w:hanging="360"/>
      </w:pPr>
    </w:lvl>
  </w:abstractNum>
  <w:abstractNum w:abstractNumId="5">
    <w:nsid w:val="FFFFFF80"/>
    <w:multiLevelType w:val="singleLevel"/>
    <w:tmpl w:val="4F24970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78A60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A6089C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2186C9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DC8DA10"/>
    <w:lvl w:ilvl="0">
      <w:start w:val="1"/>
      <w:numFmt w:val="decimal"/>
      <w:lvlText w:val="%1."/>
      <w:lvlJc w:val="left"/>
      <w:pPr>
        <w:tabs>
          <w:tab w:val="num" w:pos="360"/>
        </w:tabs>
        <w:ind w:left="360" w:hanging="360"/>
      </w:pPr>
    </w:lvl>
  </w:abstractNum>
  <w:abstractNum w:abstractNumId="10">
    <w:nsid w:val="FFFFFF89"/>
    <w:multiLevelType w:val="singleLevel"/>
    <w:tmpl w:val="B8F2A6D8"/>
    <w:lvl w:ilvl="0">
      <w:start w:val="1"/>
      <w:numFmt w:val="bullet"/>
      <w:lvlText w:val=""/>
      <w:lvlJc w:val="left"/>
      <w:pPr>
        <w:tabs>
          <w:tab w:val="num" w:pos="360"/>
        </w:tabs>
        <w:ind w:left="360" w:hanging="360"/>
      </w:pPr>
      <w:rPr>
        <w:rFonts w:ascii="Symbol" w:hAnsi="Symbol" w:hint="default"/>
      </w:rPr>
    </w:lvl>
  </w:abstractNum>
  <w:abstractNum w:abstractNumId="11">
    <w:nsid w:val="00350FB1"/>
    <w:multiLevelType w:val="multilevel"/>
    <w:tmpl w:val="B4C21E16"/>
    <w:name w:val="List Number 4"/>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33700F7"/>
    <w:multiLevelType w:val="singleLevel"/>
    <w:tmpl w:val="1150A04C"/>
    <w:lvl w:ilvl="0">
      <w:start w:val="1"/>
      <w:numFmt w:val="decimal"/>
      <w:lvlText w:val="%1."/>
      <w:lvlJc w:val="left"/>
      <w:pPr>
        <w:tabs>
          <w:tab w:val="num" w:pos="360"/>
        </w:tabs>
        <w:ind w:left="360" w:hanging="360"/>
      </w:pPr>
    </w:lvl>
  </w:abstractNum>
  <w:abstractNum w:abstractNumId="13">
    <w:nsid w:val="05E43525"/>
    <w:multiLevelType w:val="multilevel"/>
    <w:tmpl w:val="76202BFE"/>
    <w:name w:val="List Number 3"/>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5">
    <w:nsid w:val="0B6B4133"/>
    <w:multiLevelType w:val="multilevel"/>
    <w:tmpl w:val="9B6056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6">
    <w:nsid w:val="138E667B"/>
    <w:multiLevelType w:val="multilevel"/>
    <w:tmpl w:val="7F1E43F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A2118C2"/>
    <w:multiLevelType w:val="multilevel"/>
    <w:tmpl w:val="13680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8">
    <w:nsid w:val="1B0C517C"/>
    <w:multiLevelType w:val="multilevel"/>
    <w:tmpl w:val="73AC2100"/>
    <w:name w:val="List Number__4"/>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6B2409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78A6617"/>
    <w:multiLevelType w:val="hybridMultilevel"/>
    <w:tmpl w:val="49F6C056"/>
    <w:styleLink w:val="1ai"/>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1">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nsid w:val="4C517293"/>
    <w:multiLevelType w:val="multilevel"/>
    <w:tmpl w:val="9B6056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3">
    <w:nsid w:val="54593082"/>
    <w:multiLevelType w:val="singleLevel"/>
    <w:tmpl w:val="EDE069AC"/>
    <w:name w:val="Tiret 0"/>
    <w:lvl w:ilvl="0">
      <w:start w:val="1"/>
      <w:numFmt w:val="bullet"/>
      <w:lvlRestart w:val="0"/>
      <w:pStyle w:val="Bullet0"/>
      <w:lvlText w:val=""/>
      <w:lvlJc w:val="left"/>
      <w:pPr>
        <w:tabs>
          <w:tab w:val="num" w:pos="850"/>
        </w:tabs>
        <w:ind w:left="850" w:hanging="850"/>
      </w:pPr>
      <w:rPr>
        <w:rFonts w:ascii="Symbol" w:hAnsi="Symbol" w:cs="Symbol" w:hint="default"/>
      </w:rPr>
    </w:lvl>
  </w:abstractNum>
  <w:abstractNum w:abstractNumId="24">
    <w:nsid w:val="629E0070"/>
    <w:multiLevelType w:val="hybridMultilevel"/>
    <w:tmpl w:val="6DD042C0"/>
    <w:styleLink w:val="ArticleSection"/>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5">
    <w:nsid w:val="68362600"/>
    <w:multiLevelType w:val="singleLevel"/>
    <w:tmpl w:val="C1D21368"/>
    <w:name w:val="Dash 0"/>
    <w:lvl w:ilvl="0">
      <w:start w:val="1"/>
      <w:numFmt w:val="bullet"/>
      <w:pStyle w:val="Dash4"/>
      <w:lvlText w:val="–"/>
      <w:lvlJc w:val="left"/>
      <w:pPr>
        <w:tabs>
          <w:tab w:val="num" w:pos="567"/>
        </w:tabs>
        <w:ind w:left="567" w:hanging="567"/>
      </w:pPr>
    </w:lvl>
  </w:abstractNum>
  <w:abstractNum w:abstractNumId="26">
    <w:nsid w:val="69995580"/>
    <w:multiLevelType w:val="singleLevel"/>
    <w:tmpl w:val="75CC7CBA"/>
    <w:lvl w:ilvl="0">
      <w:start w:val="1"/>
      <w:numFmt w:val="decimal"/>
      <w:lvlText w:val="(%1)"/>
      <w:lvlJc w:val="left"/>
      <w:pPr>
        <w:tabs>
          <w:tab w:val="num" w:pos="709"/>
        </w:tabs>
        <w:ind w:left="709" w:hanging="709"/>
      </w:pPr>
      <w:rPr>
        <w:rFonts w:cs="Times New Roman"/>
      </w:rPr>
    </w:lvl>
  </w:abstractNum>
  <w:abstractNum w:abstractNumId="27">
    <w:nsid w:val="71FF0C87"/>
    <w:multiLevelType w:val="multilevel"/>
    <w:tmpl w:val="9B6056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8">
    <w:nsid w:val="771A732B"/>
    <w:multiLevelType w:val="hybridMultilevel"/>
    <w:tmpl w:val="BB22A852"/>
    <w:styleLink w:val="111111"/>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9">
    <w:nsid w:val="79C96D36"/>
    <w:multiLevelType w:val="multilevel"/>
    <w:tmpl w:val="BE983CE4"/>
    <w:name w:val="List Bullet 1"/>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ECB7708"/>
    <w:multiLevelType w:val="singleLevel"/>
    <w:tmpl w:val="E990DA7C"/>
    <w:lvl w:ilvl="0">
      <w:start w:val="1"/>
      <w:numFmt w:val="decimal"/>
      <w:lvlText w:val="%1."/>
      <w:lvlJc w:val="left"/>
      <w:pPr>
        <w:tabs>
          <w:tab w:val="num" w:pos="360"/>
        </w:tabs>
        <w:ind w:left="360" w:hanging="360"/>
      </w:pPr>
    </w:lvl>
  </w:abstractNum>
  <w:num w:numId="1">
    <w:abstractNumId w:val="30"/>
  </w:num>
  <w:num w:numId="2">
    <w:abstractNumId w:val="12"/>
  </w:num>
  <w:num w:numId="3">
    <w:abstractNumId w:val="3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9"/>
  </w:num>
  <w:num w:numId="15">
    <w:abstractNumId w:val="17"/>
  </w:num>
  <w:num w:numId="16">
    <w:abstractNumId w:val="15"/>
  </w:num>
  <w:num w:numId="17">
    <w:abstractNumId w:val="14"/>
  </w:num>
  <w:num w:numId="18">
    <w:abstractNumId w:val="27"/>
  </w:num>
  <w:num w:numId="19">
    <w:abstractNumId w:val="22"/>
  </w:num>
  <w:num w:numId="20">
    <w:abstractNumId w:val="21"/>
  </w:num>
  <w:num w:numId="21">
    <w:abstractNumId w:val="26"/>
  </w:num>
  <w:num w:numId="22">
    <w:abstractNumId w:val="29"/>
  </w:num>
  <w:num w:numId="23">
    <w:abstractNumId w:val="11"/>
  </w:num>
  <w:num w:numId="24">
    <w:abstractNumId w:val="18"/>
  </w:num>
  <w:num w:numId="25">
    <w:abstractNumId w:val="16"/>
  </w:num>
  <w:num w:numId="26">
    <w:abstractNumId w:val="13"/>
  </w:num>
  <w:num w:numId="27">
    <w:abstractNumId w:val="28"/>
  </w:num>
  <w:num w:numId="28">
    <w:abstractNumId w:val="20"/>
  </w:num>
  <w:num w:numId="29">
    <w:abstractNumId w:val="24"/>
  </w:num>
  <w:num w:numId="30">
    <w:abstractNumId w:val="23"/>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DATUM" w:val="2014-04-15"/>
    <w:docVar w:name="DVLANGUE" w:val="fr"/>
    <w:docVar w:name="DVPE" w:val="531.385"/>
  </w:docVars>
  <w:rsids>
    <w:rsidRoot w:val="00E56901"/>
    <w:rsid w:val="00075179"/>
    <w:rsid w:val="000C3D44"/>
    <w:rsid w:val="00145086"/>
    <w:rsid w:val="001953AA"/>
    <w:rsid w:val="001D320B"/>
    <w:rsid w:val="002022AB"/>
    <w:rsid w:val="00333F61"/>
    <w:rsid w:val="0041279B"/>
    <w:rsid w:val="005B08E6"/>
    <w:rsid w:val="005E49ED"/>
    <w:rsid w:val="005F190F"/>
    <w:rsid w:val="00662D38"/>
    <w:rsid w:val="00750716"/>
    <w:rsid w:val="007C32C6"/>
    <w:rsid w:val="008309B1"/>
    <w:rsid w:val="0086632C"/>
    <w:rsid w:val="008914DA"/>
    <w:rsid w:val="009B0007"/>
    <w:rsid w:val="00A4190D"/>
    <w:rsid w:val="00AB3BDD"/>
    <w:rsid w:val="00AE5A15"/>
    <w:rsid w:val="00B3365B"/>
    <w:rsid w:val="00B35173"/>
    <w:rsid w:val="00B81E3A"/>
    <w:rsid w:val="00BB4A40"/>
    <w:rsid w:val="00DA70A5"/>
    <w:rsid w:val="00E21ECD"/>
    <w:rsid w:val="00E569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65B"/>
    <w:rPr>
      <w:noProof/>
      <w:sz w:val="24"/>
      <w:lang w:eastAsia="en-GB"/>
    </w:rPr>
  </w:style>
  <w:style w:type="paragraph" w:styleId="Heading1">
    <w:name w:val="heading 1"/>
    <w:basedOn w:val="Normal"/>
    <w:next w:val="Normal"/>
    <w:link w:val="Heading1Char"/>
    <w:qFormat/>
    <w:pPr>
      <w:keepNext/>
      <w:keepLines/>
      <w:spacing w:after="120"/>
      <w:ind w:left="510" w:hanging="510"/>
      <w:outlineLvl w:val="0"/>
    </w:pPr>
    <w:rPr>
      <w:b/>
      <w:kern w:val="28"/>
      <w:sz w:val="28"/>
    </w:rPr>
  </w:style>
  <w:style w:type="paragraph" w:styleId="Heading2">
    <w:name w:val="heading 2"/>
    <w:basedOn w:val="Normal"/>
    <w:next w:val="Normal"/>
    <w:link w:val="Heading2Char"/>
    <w:qFormat/>
    <w:pPr>
      <w:keepNext/>
      <w:jc w:val="center"/>
      <w:outlineLvl w:val="1"/>
    </w:pPr>
    <w:rPr>
      <w:b/>
      <w:noProof w:val="0"/>
      <w:sz w:val="28"/>
      <w:lang w:val="de-DE"/>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qFormat/>
    <w:pPr>
      <w:keepNext/>
      <w:tabs>
        <w:tab w:val="center" w:pos="5387"/>
      </w:tabs>
      <w:jc w:val="center"/>
      <w:outlineLvl w:val="3"/>
    </w:pPr>
    <w:rPr>
      <w:noProof w:val="0"/>
      <w:sz w:val="60"/>
      <w:lang w:val="fr-FR"/>
    </w:rPr>
  </w:style>
  <w:style w:type="paragraph" w:styleId="Heading5">
    <w:name w:val="heading 5"/>
    <w:basedOn w:val="Normal"/>
    <w:next w:val="Normal"/>
    <w:link w:val="Heading5Char"/>
    <w:qFormat/>
    <w:rsid w:val="002022AB"/>
    <w:pPr>
      <w:numPr>
        <w:ilvl w:val="4"/>
        <w:numId w:val="20"/>
      </w:numPr>
      <w:spacing w:before="240" w:after="60"/>
      <w:outlineLvl w:val="4"/>
    </w:pPr>
    <w:rPr>
      <w:noProof w:val="0"/>
      <w:lang w:val="en-US"/>
    </w:rPr>
  </w:style>
  <w:style w:type="paragraph" w:styleId="Heading6">
    <w:name w:val="heading 6"/>
    <w:basedOn w:val="Normal"/>
    <w:next w:val="Normal"/>
    <w:link w:val="Heading6Char"/>
    <w:qFormat/>
    <w:rsid w:val="002022AB"/>
    <w:pPr>
      <w:spacing w:before="240" w:after="60"/>
      <w:jc w:val="both"/>
      <w:outlineLvl w:val="5"/>
    </w:pPr>
    <w:rPr>
      <w:rFonts w:ascii="Arial" w:hAnsi="Arial" w:cs="Arial"/>
      <w:i/>
      <w:iCs/>
      <w:noProof w:val="0"/>
      <w:sz w:val="22"/>
      <w:szCs w:val="22"/>
      <w:lang w:val="fr-FR" w:eastAsia="fr-FR"/>
    </w:rPr>
  </w:style>
  <w:style w:type="paragraph" w:styleId="Heading7">
    <w:name w:val="heading 7"/>
    <w:basedOn w:val="Normal"/>
    <w:next w:val="Normal"/>
    <w:link w:val="Heading7Char"/>
    <w:qFormat/>
    <w:rsid w:val="002022AB"/>
    <w:pPr>
      <w:widowControl w:val="0"/>
      <w:spacing w:before="240" w:after="60"/>
      <w:outlineLvl w:val="6"/>
    </w:pPr>
    <w:rPr>
      <w:rFonts w:ascii="Arial" w:hAnsi="Arial"/>
      <w:noProof w:val="0"/>
      <w:lang w:val="fr-FR"/>
    </w:rPr>
  </w:style>
  <w:style w:type="paragraph" w:styleId="Heading8">
    <w:name w:val="heading 8"/>
    <w:basedOn w:val="Normal"/>
    <w:next w:val="Normal"/>
    <w:link w:val="Heading8Char"/>
    <w:qFormat/>
    <w:rsid w:val="002022AB"/>
    <w:pPr>
      <w:widowControl w:val="0"/>
      <w:spacing w:before="240" w:after="60"/>
      <w:outlineLvl w:val="7"/>
    </w:pPr>
    <w:rPr>
      <w:rFonts w:ascii="Arial" w:hAnsi="Arial"/>
      <w:i/>
      <w:noProof w:val="0"/>
      <w:lang w:val="fr-FR"/>
    </w:rPr>
  </w:style>
  <w:style w:type="paragraph" w:styleId="Heading9">
    <w:name w:val="heading 9"/>
    <w:basedOn w:val="Normal"/>
    <w:next w:val="Normal"/>
    <w:link w:val="Heading9Char"/>
    <w:qFormat/>
    <w:rsid w:val="002022AB"/>
    <w:pPr>
      <w:widowControl w:val="0"/>
      <w:spacing w:before="240" w:after="60"/>
      <w:outlineLvl w:val="8"/>
    </w:pPr>
    <w:rPr>
      <w:rFonts w:ascii="Arial" w:hAnsi="Arial"/>
      <w:b/>
      <w:i/>
      <w:noProof w:val="0"/>
      <w:sz w:val="1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aliases w:val="Footer Char1,Footer Char11,Heading 9 Char3,16 Point,Superscript 6 Point,Footnote Reference Number,Footnote Reference_LVL6,Footnote Reference_LVL61,Footnote Reference_LVL62,Footnote Reference_LVL63,Footnote Reference_LVL64,Footnote cal"/>
    <w:rPr>
      <w:vertAlign w:val="superscript"/>
    </w:rPr>
  </w:style>
  <w:style w:type="paragraph" w:customStyle="1" w:styleId="ATHeading1">
    <w:name w:val="AT Heading 1"/>
    <w:basedOn w:val="Normal"/>
    <w:next w:val="Normal"/>
    <w:pPr>
      <w:keepNext/>
      <w:keepLines/>
      <w:spacing w:after="120"/>
      <w:outlineLvl w:val="0"/>
    </w:pPr>
    <w:rPr>
      <w:b/>
      <w:sz w:val="28"/>
    </w:rPr>
  </w:style>
  <w:style w:type="paragraph" w:customStyle="1" w:styleId="ATHeading2">
    <w:name w:val="AT Heading 2"/>
    <w:basedOn w:val="Normal"/>
    <w:next w:val="Normal"/>
    <w:pPr>
      <w:spacing w:before="120" w:after="120"/>
      <w:outlineLvl w:val="1"/>
    </w:pPr>
    <w:rPr>
      <w:b/>
      <w:sz w:val="28"/>
    </w:rPr>
  </w:style>
  <w:style w:type="paragraph" w:customStyle="1" w:styleId="ATHeading3">
    <w:name w:val="AT Heading 3"/>
    <w:basedOn w:val="Normal"/>
    <w:next w:val="Normal"/>
    <w:pPr>
      <w:keepNext/>
      <w:keepLines/>
      <w:spacing w:before="120" w:after="120"/>
      <w:outlineLvl w:val="2"/>
    </w:pPr>
    <w:rPr>
      <w:b/>
    </w:rPr>
  </w:style>
  <w:style w:type="paragraph" w:customStyle="1" w:styleId="ATHeading4">
    <w:name w:val="AT Heading 4"/>
    <w:basedOn w:val="Normal"/>
    <w:next w:val="Normal"/>
    <w:pPr>
      <w:keepNext/>
      <w:keepLines/>
      <w:spacing w:before="120" w:after="120"/>
    </w:pPr>
    <w:rPr>
      <w:b/>
      <w:i/>
    </w:rPr>
  </w:style>
  <w:style w:type="paragraph" w:customStyle="1" w:styleId="ATHeading5">
    <w:name w:val="AT Heading 5"/>
    <w:basedOn w:val="Normal"/>
    <w:next w:val="Normal"/>
    <w:pPr>
      <w:keepNext/>
      <w:keepLines/>
      <w:spacing w:before="120" w:after="120"/>
    </w:pPr>
    <w:rPr>
      <w:i/>
    </w:rPr>
  </w:style>
  <w:style w:type="paragraph" w:styleId="Footer">
    <w:name w:val="footer"/>
    <w:basedOn w:val="Normal"/>
    <w:link w:val="FooterChar"/>
    <w:pPr>
      <w:pBdr>
        <w:top w:val="single" w:sz="4" w:space="1" w:color="auto"/>
      </w:pBdr>
      <w:tabs>
        <w:tab w:val="right" w:pos="9214"/>
      </w:tabs>
    </w:pPr>
    <w:rPr>
      <w:sz w:val="20"/>
    </w:rPr>
  </w:style>
  <w:style w:type="paragraph" w:styleId="Header">
    <w:name w:val="header"/>
    <w:basedOn w:val="Normal"/>
    <w:link w:val="HeaderChar"/>
    <w:rPr>
      <w:b/>
    </w:rPr>
  </w:style>
  <w:style w:type="paragraph" w:styleId="FootnoteText">
    <w:name w:val="footnote text"/>
    <w:basedOn w:val="Normal"/>
    <w:link w:val="FootnoteTextChar"/>
    <w:pPr>
      <w:keepLines/>
      <w:spacing w:line="260" w:lineRule="exact"/>
      <w:ind w:left="510" w:hanging="510"/>
    </w:pPr>
    <w:rPr>
      <w:sz w:val="22"/>
    </w:rPr>
  </w:style>
  <w:style w:type="paragraph" w:styleId="TOC1">
    <w:name w:val="toc 1"/>
    <w:basedOn w:val="Normal"/>
    <w:next w:val="Normal"/>
    <w:autoRedefine/>
    <w:uiPriority w:val="39"/>
    <w:pPr>
      <w:keepNext/>
      <w:keepLines/>
      <w:spacing w:before="200"/>
    </w:pPr>
    <w:rPr>
      <w:b/>
    </w:rPr>
  </w:style>
  <w:style w:type="paragraph" w:styleId="TOC2">
    <w:name w:val="toc 2"/>
    <w:basedOn w:val="Normal"/>
    <w:next w:val="Normal"/>
    <w:autoRedefine/>
    <w:uiPriority w:val="39"/>
    <w:pPr>
      <w:keepNext/>
      <w:keepLines/>
    </w:pPr>
    <w:rPr>
      <w:b/>
    </w:rPr>
  </w:style>
  <w:style w:type="paragraph" w:styleId="TOC3">
    <w:name w:val="toc 3"/>
    <w:basedOn w:val="Normal"/>
    <w:next w:val="Normal"/>
    <w:autoRedefine/>
    <w:uiPriority w:val="39"/>
    <w:rsid w:val="00B3365B"/>
    <w:pPr>
      <w:keepLines/>
    </w:pPr>
  </w:style>
  <w:style w:type="paragraph" w:customStyle="1" w:styleId="ATHeadingMotiv">
    <w:name w:val="AT Heading Motiv"/>
    <w:basedOn w:val="Normal"/>
    <w:next w:val="Normal"/>
    <w:pPr>
      <w:keepNext/>
      <w:spacing w:before="60" w:after="60"/>
      <w:jc w:val="center"/>
    </w:pPr>
    <w:rPr>
      <w:i/>
    </w:rPr>
  </w:style>
  <w:style w:type="character" w:styleId="PageNumber">
    <w:name w:val="page number"/>
    <w:basedOn w:val="DefaultParagraphFont"/>
  </w:style>
  <w:style w:type="paragraph" w:customStyle="1" w:styleId="ATTOCTitle">
    <w:name w:val="AT TOC Title"/>
    <w:basedOn w:val="Normal"/>
    <w:pPr>
      <w:keepNext/>
      <w:keepLines/>
      <w:spacing w:after="240"/>
      <w:jc w:val="center"/>
    </w:pPr>
    <w:rPr>
      <w:b/>
      <w:caps/>
      <w:sz w:val="28"/>
    </w:rPr>
  </w:style>
  <w:style w:type="paragraph" w:styleId="BalloonText">
    <w:name w:val="Balloon Text"/>
    <w:basedOn w:val="Normal"/>
    <w:link w:val="BalloonTextChar"/>
    <w:rsid w:val="00B3365B"/>
    <w:rPr>
      <w:rFonts w:ascii="Tahoma" w:hAnsi="Tahoma" w:cs="Tahoma"/>
      <w:sz w:val="16"/>
      <w:szCs w:val="16"/>
    </w:rPr>
  </w:style>
  <w:style w:type="character" w:customStyle="1" w:styleId="BalloonTextChar">
    <w:name w:val="Balloon Text Char"/>
    <w:link w:val="BalloonText"/>
    <w:rsid w:val="00B3365B"/>
    <w:rPr>
      <w:rFonts w:ascii="Tahoma" w:hAnsi="Tahoma" w:cs="Tahoma"/>
      <w:noProof/>
      <w:sz w:val="16"/>
      <w:szCs w:val="16"/>
    </w:rPr>
  </w:style>
  <w:style w:type="paragraph" w:styleId="TOC4">
    <w:name w:val="toc 4"/>
    <w:basedOn w:val="Normal"/>
    <w:next w:val="Normal"/>
    <w:autoRedefine/>
    <w:uiPriority w:val="39"/>
    <w:rsid w:val="00B3365B"/>
    <w:pPr>
      <w:ind w:right="567"/>
    </w:pPr>
  </w:style>
  <w:style w:type="paragraph" w:customStyle="1" w:styleId="Normal12">
    <w:name w:val="Normal12"/>
    <w:basedOn w:val="Normal"/>
    <w:link w:val="CommentTextChar5"/>
    <w:rsid w:val="002022AB"/>
    <w:pPr>
      <w:widowControl w:val="0"/>
      <w:spacing w:after="240"/>
    </w:pPr>
    <w:rPr>
      <w:noProof w:val="0"/>
      <w:lang w:val="fr-FR"/>
    </w:rPr>
  </w:style>
  <w:style w:type="paragraph" w:customStyle="1" w:styleId="Normal12Bold">
    <w:name w:val="Normal12Bold"/>
    <w:basedOn w:val="Normal12"/>
    <w:rsid w:val="002022AB"/>
    <w:rPr>
      <w:b/>
    </w:rPr>
  </w:style>
  <w:style w:type="paragraph" w:customStyle="1" w:styleId="Normal12Hanging">
    <w:name w:val="Normal12Hanging"/>
    <w:basedOn w:val="Normal12"/>
    <w:rsid w:val="002022AB"/>
    <w:pPr>
      <w:ind w:left="567" w:hanging="567"/>
    </w:pPr>
  </w:style>
  <w:style w:type="character" w:customStyle="1" w:styleId="FootnoteTextChar">
    <w:name w:val="Footnote Text Char"/>
    <w:link w:val="FootnoteText"/>
    <w:rsid w:val="002022AB"/>
    <w:rPr>
      <w:noProof/>
      <w:sz w:val="22"/>
      <w:lang w:val="en-GB" w:eastAsia="en-GB"/>
    </w:rPr>
  </w:style>
  <w:style w:type="character" w:customStyle="1" w:styleId="CommentTextChar5">
    <w:name w:val="Comment Text Char5"/>
    <w:link w:val="Normal12"/>
    <w:locked/>
    <w:rsid w:val="002022AB"/>
    <w:rPr>
      <w:sz w:val="24"/>
      <w:lang w:eastAsia="en-GB"/>
    </w:rPr>
  </w:style>
  <w:style w:type="paragraph" w:customStyle="1" w:styleId="FooterCouncil">
    <w:name w:val="Footer Council"/>
    <w:basedOn w:val="Normal"/>
    <w:rsid w:val="002022AB"/>
    <w:rPr>
      <w:noProof w:val="0"/>
      <w:sz w:val="2"/>
      <w:szCs w:val="24"/>
      <w:lang w:val="fr-FR" w:eastAsia="fr-FR" w:bidi="fr-FR"/>
    </w:rPr>
  </w:style>
  <w:style w:type="paragraph" w:customStyle="1" w:styleId="HeaderCouncilLarge">
    <w:name w:val="Header Council Large"/>
    <w:basedOn w:val="Normal"/>
    <w:link w:val="HeaderCouncilLargeChar"/>
    <w:rsid w:val="002022AB"/>
    <w:pPr>
      <w:spacing w:after="440" w:line="360" w:lineRule="auto"/>
      <w:ind w:left="-1134" w:right="-1134"/>
    </w:pPr>
    <w:rPr>
      <w:noProof w:val="0"/>
      <w:sz w:val="2"/>
      <w:szCs w:val="24"/>
      <w:lang w:val="fr-FR" w:eastAsia="fr-FR" w:bidi="fr-FR"/>
    </w:rPr>
  </w:style>
  <w:style w:type="character" w:customStyle="1" w:styleId="HeaderCouncilLargeChar">
    <w:name w:val="Header Council Large Char"/>
    <w:link w:val="HeaderCouncilLarge"/>
    <w:rsid w:val="002022AB"/>
    <w:rPr>
      <w:sz w:val="2"/>
      <w:szCs w:val="24"/>
      <w:lang w:bidi="fr-FR"/>
    </w:rPr>
  </w:style>
  <w:style w:type="character" w:customStyle="1" w:styleId="Heading5Char">
    <w:name w:val="Heading 5 Char"/>
    <w:link w:val="Heading5"/>
    <w:rsid w:val="002022AB"/>
    <w:rPr>
      <w:sz w:val="24"/>
      <w:lang w:val="en-US" w:eastAsia="en-GB"/>
    </w:rPr>
  </w:style>
  <w:style w:type="character" w:customStyle="1" w:styleId="Heading6Char">
    <w:name w:val="Heading 6 Char"/>
    <w:link w:val="Heading6"/>
    <w:rsid w:val="002022AB"/>
    <w:rPr>
      <w:rFonts w:ascii="Arial" w:hAnsi="Arial" w:cs="Arial"/>
      <w:i/>
      <w:iCs/>
      <w:sz w:val="22"/>
      <w:szCs w:val="22"/>
    </w:rPr>
  </w:style>
  <w:style w:type="character" w:customStyle="1" w:styleId="Heading7Char">
    <w:name w:val="Heading 7 Char"/>
    <w:link w:val="Heading7"/>
    <w:rsid w:val="002022AB"/>
    <w:rPr>
      <w:rFonts w:ascii="Arial" w:hAnsi="Arial"/>
      <w:sz w:val="24"/>
      <w:lang w:eastAsia="en-GB"/>
    </w:rPr>
  </w:style>
  <w:style w:type="character" w:customStyle="1" w:styleId="Heading8Char">
    <w:name w:val="Heading 8 Char"/>
    <w:link w:val="Heading8"/>
    <w:rsid w:val="002022AB"/>
    <w:rPr>
      <w:rFonts w:ascii="Arial" w:hAnsi="Arial"/>
      <w:i/>
      <w:sz w:val="24"/>
      <w:lang w:eastAsia="en-GB"/>
    </w:rPr>
  </w:style>
  <w:style w:type="character" w:customStyle="1" w:styleId="Heading9Char">
    <w:name w:val="Heading 9 Char"/>
    <w:link w:val="Heading9"/>
    <w:rsid w:val="002022AB"/>
    <w:rPr>
      <w:rFonts w:ascii="Arial" w:hAnsi="Arial"/>
      <w:b/>
      <w:i/>
      <w:sz w:val="18"/>
      <w:lang w:eastAsia="en-GB"/>
    </w:rPr>
  </w:style>
  <w:style w:type="character" w:customStyle="1" w:styleId="Heading1Char">
    <w:name w:val="Heading 1 Char"/>
    <w:link w:val="Heading1"/>
    <w:rsid w:val="002022AB"/>
    <w:rPr>
      <w:b/>
      <w:noProof/>
      <w:kern w:val="28"/>
      <w:sz w:val="28"/>
      <w:lang w:val="en-GB" w:eastAsia="en-GB"/>
    </w:rPr>
  </w:style>
  <w:style w:type="character" w:customStyle="1" w:styleId="Heading2Char">
    <w:name w:val="Heading 2 Char"/>
    <w:link w:val="Heading2"/>
    <w:rsid w:val="002022AB"/>
    <w:rPr>
      <w:b/>
      <w:sz w:val="28"/>
      <w:lang w:val="de-DE" w:eastAsia="en-GB"/>
    </w:rPr>
  </w:style>
  <w:style w:type="character" w:customStyle="1" w:styleId="Heading3Char">
    <w:name w:val="Heading 3 Char"/>
    <w:link w:val="Heading3"/>
    <w:rsid w:val="002022AB"/>
    <w:rPr>
      <w:noProof/>
      <w:sz w:val="28"/>
      <w:lang w:val="en-GB" w:eastAsia="en-GB"/>
    </w:rPr>
  </w:style>
  <w:style w:type="character" w:customStyle="1" w:styleId="FooterChar">
    <w:name w:val="Footer Char"/>
    <w:link w:val="Footer"/>
    <w:rsid w:val="002022AB"/>
    <w:rPr>
      <w:noProof/>
      <w:lang w:val="en-GB" w:eastAsia="en-GB"/>
    </w:rPr>
  </w:style>
  <w:style w:type="character" w:customStyle="1" w:styleId="HeaderChar">
    <w:name w:val="Header Char"/>
    <w:link w:val="Header"/>
    <w:rsid w:val="002022AB"/>
    <w:rPr>
      <w:b/>
      <w:noProof/>
      <w:sz w:val="24"/>
      <w:lang w:val="en-GB" w:eastAsia="en-GB"/>
    </w:rPr>
  </w:style>
  <w:style w:type="paragraph" w:customStyle="1" w:styleId="Numroamendement">
    <w:name w:val="Numéro amendement"/>
    <w:basedOn w:val="Normal"/>
    <w:next w:val="Normal"/>
    <w:rsid w:val="002022AB"/>
    <w:pPr>
      <w:widowControl w:val="0"/>
      <w:jc w:val="center"/>
    </w:pPr>
    <w:rPr>
      <w:noProof w:val="0"/>
      <w:snapToGrid w:val="0"/>
      <w:lang w:val="fr-FR" w:eastAsia="en-US"/>
    </w:rPr>
  </w:style>
  <w:style w:type="paragraph" w:customStyle="1" w:styleId="ATHeading6">
    <w:name w:val="AT Heading 6"/>
    <w:basedOn w:val="Normal"/>
    <w:next w:val="Normal"/>
    <w:rsid w:val="002022AB"/>
    <w:pPr>
      <w:keepNext/>
      <w:keepLines/>
      <w:spacing w:before="120" w:after="120"/>
    </w:pPr>
    <w:rPr>
      <w:smallCaps/>
      <w:lang w:val="fr-FR"/>
    </w:rPr>
  </w:style>
  <w:style w:type="character" w:customStyle="1" w:styleId="HideTWBExt">
    <w:name w:val="HideTWBExt"/>
    <w:rsid w:val="002022AB"/>
    <w:rPr>
      <w:rFonts w:ascii="Arial" w:hAnsi="Arial"/>
      <w:noProof/>
      <w:vanish/>
      <w:color w:val="000080"/>
      <w:sz w:val="20"/>
    </w:rPr>
  </w:style>
  <w:style w:type="paragraph" w:customStyle="1" w:styleId="Footer2">
    <w:name w:val="Footer2"/>
    <w:basedOn w:val="Normal12"/>
    <w:rsid w:val="002022AB"/>
    <w:pPr>
      <w:widowControl/>
      <w:tabs>
        <w:tab w:val="right" w:pos="9921"/>
      </w:tabs>
      <w:ind w:left="-850"/>
    </w:pPr>
    <w:rPr>
      <w:rFonts w:ascii="Arial" w:hAnsi="Arial" w:cs="Arial"/>
      <w:b/>
      <w:sz w:val="48"/>
    </w:rPr>
  </w:style>
  <w:style w:type="paragraph" w:customStyle="1" w:styleId="EntPE">
    <w:name w:val="EntPE"/>
    <w:basedOn w:val="Normal12"/>
    <w:link w:val="CharChar3"/>
    <w:rsid w:val="002022AB"/>
    <w:pPr>
      <w:jc w:val="center"/>
    </w:pPr>
    <w:rPr>
      <w:sz w:val="56"/>
    </w:rPr>
  </w:style>
  <w:style w:type="character" w:customStyle="1" w:styleId="CharChar3">
    <w:name w:val="Char Char3"/>
    <w:link w:val="EntPE"/>
    <w:locked/>
    <w:rsid w:val="002022AB"/>
    <w:rPr>
      <w:sz w:val="56"/>
      <w:lang w:eastAsia="en-GB"/>
    </w:rPr>
  </w:style>
  <w:style w:type="paragraph" w:customStyle="1" w:styleId="Normal12Centre">
    <w:name w:val="Normal12Centre"/>
    <w:basedOn w:val="Normal12"/>
    <w:rsid w:val="002022AB"/>
    <w:pPr>
      <w:jc w:val="center"/>
    </w:pPr>
  </w:style>
  <w:style w:type="paragraph" w:customStyle="1" w:styleId="Normal12Tab">
    <w:name w:val="Normal12Tab"/>
    <w:basedOn w:val="Normal12"/>
    <w:link w:val="CharChar2"/>
    <w:rsid w:val="002022AB"/>
    <w:pPr>
      <w:tabs>
        <w:tab w:val="left" w:pos="357"/>
      </w:tabs>
    </w:pPr>
  </w:style>
  <w:style w:type="character" w:customStyle="1" w:styleId="CharChar2">
    <w:name w:val="Char Char2"/>
    <w:link w:val="Normal12Tab"/>
    <w:locked/>
    <w:rsid w:val="002022AB"/>
    <w:rPr>
      <w:sz w:val="24"/>
      <w:lang w:eastAsia="en-GB"/>
    </w:rPr>
  </w:style>
  <w:style w:type="paragraph" w:customStyle="1" w:styleId="StarsAndIs">
    <w:name w:val="StarsAndIs"/>
    <w:basedOn w:val="Normal"/>
    <w:link w:val="CharChar1"/>
    <w:rsid w:val="002022AB"/>
    <w:pPr>
      <w:widowControl w:val="0"/>
      <w:ind w:left="1418"/>
    </w:pPr>
    <w:rPr>
      <w:rFonts w:ascii="Arial" w:hAnsi="Arial"/>
      <w:b/>
      <w:noProof w:val="0"/>
      <w:sz w:val="48"/>
      <w:lang w:val="fr-FR"/>
    </w:rPr>
  </w:style>
  <w:style w:type="character" w:customStyle="1" w:styleId="CharChar1">
    <w:name w:val="Char Char1"/>
    <w:link w:val="StarsAndIs"/>
    <w:locked/>
    <w:rsid w:val="002022AB"/>
    <w:rPr>
      <w:rFonts w:ascii="Arial" w:hAnsi="Arial"/>
      <w:b/>
      <w:sz w:val="48"/>
      <w:lang w:eastAsia="en-GB"/>
    </w:rPr>
  </w:style>
  <w:style w:type="paragraph" w:customStyle="1" w:styleId="ZDate">
    <w:name w:val="ZDate"/>
    <w:basedOn w:val="Normal"/>
    <w:link w:val="CharChar"/>
    <w:rsid w:val="002022AB"/>
    <w:pPr>
      <w:widowControl w:val="0"/>
      <w:spacing w:after="1200"/>
    </w:pPr>
    <w:rPr>
      <w:noProof w:val="0"/>
      <w:lang w:val="fr-FR"/>
    </w:rPr>
  </w:style>
  <w:style w:type="character" w:customStyle="1" w:styleId="CharChar">
    <w:name w:val="Char Char"/>
    <w:link w:val="ZDate"/>
    <w:locked/>
    <w:rsid w:val="002022AB"/>
    <w:rPr>
      <w:sz w:val="24"/>
      <w:lang w:eastAsia="en-GB"/>
    </w:rPr>
  </w:style>
  <w:style w:type="paragraph" w:customStyle="1" w:styleId="ColumnHeading">
    <w:name w:val="ColumnHeading"/>
    <w:basedOn w:val="Normal"/>
    <w:link w:val="FooterCar"/>
    <w:rsid w:val="002022AB"/>
    <w:pPr>
      <w:widowControl w:val="0"/>
      <w:spacing w:after="240"/>
      <w:jc w:val="center"/>
    </w:pPr>
    <w:rPr>
      <w:i/>
      <w:noProof w:val="0"/>
      <w:lang w:val="fr-FR"/>
    </w:rPr>
  </w:style>
  <w:style w:type="character" w:customStyle="1" w:styleId="FooterCar">
    <w:name w:val="Footer Car"/>
    <w:link w:val="ColumnHeading"/>
    <w:locked/>
    <w:rsid w:val="002022AB"/>
    <w:rPr>
      <w:i/>
      <w:sz w:val="24"/>
      <w:lang w:eastAsia="en-GB"/>
    </w:rPr>
  </w:style>
  <w:style w:type="table" w:styleId="TableGrid">
    <w:name w:val="Table Grid"/>
    <w:basedOn w:val="TableNormal"/>
    <w:link w:val="CharChar30"/>
    <w:rsid w:val="002022A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0">
    <w:name w:val=" Char Char3"/>
    <w:link w:val="TableGrid"/>
    <w:locked/>
    <w:rsid w:val="002022AB"/>
    <w:rPr>
      <w:snapToGrid w:val="0"/>
    </w:rPr>
  </w:style>
  <w:style w:type="paragraph" w:customStyle="1" w:styleId="AMNumberTabs">
    <w:name w:val="AMNumberTabs"/>
    <w:basedOn w:val="Normal"/>
    <w:rsid w:val="002022AB"/>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noProof w:val="0"/>
      <w:lang w:val="fr-FR"/>
    </w:rPr>
  </w:style>
  <w:style w:type="paragraph" w:customStyle="1" w:styleId="LineTop">
    <w:name w:val="LineTop"/>
    <w:basedOn w:val="Normal"/>
    <w:next w:val="ZCommittee"/>
    <w:rsid w:val="002022AB"/>
    <w:pPr>
      <w:widowControl w:val="0"/>
      <w:pBdr>
        <w:top w:val="single" w:sz="4" w:space="1" w:color="auto"/>
      </w:pBdr>
      <w:jc w:val="center"/>
    </w:pPr>
    <w:rPr>
      <w:rFonts w:ascii="Arial" w:hAnsi="Arial"/>
      <w:noProof w:val="0"/>
      <w:sz w:val="16"/>
      <w:szCs w:val="16"/>
      <w:lang w:val="fr-FR"/>
    </w:rPr>
  </w:style>
  <w:style w:type="paragraph" w:customStyle="1" w:styleId="ZCommittee">
    <w:name w:val="ZCommittee"/>
    <w:basedOn w:val="Normal"/>
    <w:next w:val="Normal"/>
    <w:rsid w:val="002022AB"/>
    <w:pPr>
      <w:widowControl w:val="0"/>
      <w:jc w:val="center"/>
    </w:pPr>
    <w:rPr>
      <w:rFonts w:ascii="Arial" w:hAnsi="Arial" w:cs="Arial"/>
      <w:i/>
      <w:noProof w:val="0"/>
      <w:sz w:val="22"/>
      <w:szCs w:val="22"/>
      <w:lang w:val="fr-FR"/>
    </w:rPr>
  </w:style>
  <w:style w:type="paragraph" w:customStyle="1" w:styleId="Considrant">
    <w:name w:val="Considérant"/>
    <w:basedOn w:val="Normal"/>
    <w:rsid w:val="002022AB"/>
    <w:pPr>
      <w:numPr>
        <w:numId w:val="11"/>
      </w:numPr>
      <w:spacing w:before="120" w:after="120"/>
      <w:jc w:val="both"/>
    </w:pPr>
    <w:rPr>
      <w:noProof w:val="0"/>
      <w:snapToGrid w:val="0"/>
      <w:szCs w:val="24"/>
      <w:lang w:val="it-IT"/>
    </w:rPr>
  </w:style>
  <w:style w:type="paragraph" w:styleId="CommentText">
    <w:name w:val="annotation text"/>
    <w:basedOn w:val="Normal"/>
    <w:link w:val="CommentTextChar"/>
    <w:rsid w:val="002022AB"/>
    <w:pPr>
      <w:widowControl w:val="0"/>
    </w:pPr>
    <w:rPr>
      <w:noProof w:val="0"/>
      <w:sz w:val="20"/>
      <w:lang w:val="it-IT"/>
    </w:rPr>
  </w:style>
  <w:style w:type="character" w:customStyle="1" w:styleId="CommentTextChar">
    <w:name w:val="Comment Text Char"/>
    <w:link w:val="CommentText"/>
    <w:rsid w:val="002022AB"/>
    <w:rPr>
      <w:lang w:val="it-IT" w:eastAsia="en-GB"/>
    </w:rPr>
  </w:style>
  <w:style w:type="paragraph" w:styleId="CommentSubject">
    <w:name w:val="annotation subject"/>
    <w:basedOn w:val="CommentText"/>
    <w:next w:val="CommentText"/>
    <w:link w:val="CommentSubjectChar"/>
    <w:rsid w:val="002022AB"/>
    <w:rPr>
      <w:b/>
      <w:bCs/>
    </w:rPr>
  </w:style>
  <w:style w:type="character" w:customStyle="1" w:styleId="CommentSubjectChar">
    <w:name w:val="Comment Subject Char"/>
    <w:link w:val="CommentSubject"/>
    <w:rsid w:val="002022AB"/>
    <w:rPr>
      <w:b/>
      <w:bCs/>
      <w:lang w:val="it-IT" w:eastAsia="en-GB"/>
    </w:rPr>
  </w:style>
  <w:style w:type="paragraph" w:customStyle="1" w:styleId="ConsHeading">
    <w:name w:val="ConsHeading"/>
    <w:basedOn w:val="Normal12Centre"/>
    <w:rsid w:val="002022AB"/>
    <w:pPr>
      <w:spacing w:before="720"/>
    </w:pPr>
    <w:rPr>
      <w:lang w:val="en-GB"/>
    </w:rPr>
  </w:style>
  <w:style w:type="paragraph" w:customStyle="1" w:styleId="ConsLine">
    <w:name w:val="ConsLine"/>
    <w:basedOn w:val="Normal"/>
    <w:rsid w:val="002022AB"/>
    <w:pPr>
      <w:widowControl w:val="0"/>
      <w:spacing w:before="240" w:after="240"/>
      <w:jc w:val="center"/>
    </w:pPr>
    <w:rPr>
      <w:bCs/>
      <w:noProof w:val="0"/>
    </w:rPr>
  </w:style>
  <w:style w:type="paragraph" w:customStyle="1" w:styleId="NormalCentre">
    <w:name w:val="NormalCentre"/>
    <w:basedOn w:val="Normal"/>
    <w:rsid w:val="002022AB"/>
    <w:pPr>
      <w:widowControl w:val="0"/>
      <w:jc w:val="center"/>
    </w:pPr>
    <w:rPr>
      <w:noProof w:val="0"/>
    </w:rPr>
  </w:style>
  <w:style w:type="character" w:styleId="Hyperlink">
    <w:name w:val="Hyperlink"/>
    <w:rsid w:val="002022AB"/>
    <w:rPr>
      <w:color w:val="0000FF"/>
      <w:u w:val="single"/>
      <w:shd w:val="clear" w:color="auto" w:fill="auto"/>
    </w:rPr>
  </w:style>
  <w:style w:type="numbering" w:customStyle="1" w:styleId="NoList1">
    <w:name w:val="No List1"/>
    <w:next w:val="NoList"/>
    <w:semiHidden/>
    <w:rsid w:val="002022AB"/>
  </w:style>
  <w:style w:type="paragraph" w:customStyle="1" w:styleId="EntInstit">
    <w:name w:val="EntInstit"/>
    <w:basedOn w:val="Normal"/>
    <w:rsid w:val="002022AB"/>
    <w:pPr>
      <w:widowControl w:val="0"/>
      <w:jc w:val="right"/>
    </w:pPr>
    <w:rPr>
      <w:b/>
      <w:bCs/>
      <w:noProof w:val="0"/>
      <w:szCs w:val="24"/>
      <w:lang w:val="fr-FR" w:eastAsia="fr-FR"/>
    </w:rPr>
  </w:style>
  <w:style w:type="paragraph" w:customStyle="1" w:styleId="EntRefer">
    <w:name w:val="EntRefer"/>
    <w:basedOn w:val="Normal"/>
    <w:rsid w:val="002022AB"/>
    <w:pPr>
      <w:widowControl w:val="0"/>
    </w:pPr>
    <w:rPr>
      <w:b/>
      <w:bCs/>
      <w:noProof w:val="0"/>
      <w:szCs w:val="24"/>
      <w:lang w:val="fr-FR" w:eastAsia="fr-FR"/>
    </w:rPr>
  </w:style>
  <w:style w:type="paragraph" w:customStyle="1" w:styleId="Par-number1">
    <w:name w:val="Par-number 1)"/>
    <w:basedOn w:val="Normal"/>
    <w:next w:val="Normal"/>
    <w:rsid w:val="002022AB"/>
    <w:pPr>
      <w:widowControl w:val="0"/>
      <w:numPr>
        <w:numId w:val="7"/>
      </w:numPr>
      <w:spacing w:line="360" w:lineRule="auto"/>
    </w:pPr>
    <w:rPr>
      <w:noProof w:val="0"/>
      <w:szCs w:val="24"/>
      <w:lang w:val="fr-FR" w:eastAsia="fr-FR"/>
    </w:rPr>
  </w:style>
  <w:style w:type="paragraph" w:customStyle="1" w:styleId="EntEmet">
    <w:name w:val="EntEmet"/>
    <w:basedOn w:val="Normal"/>
    <w:rsid w:val="002022AB"/>
    <w:pPr>
      <w:widowControl w:val="0"/>
      <w:tabs>
        <w:tab w:val="left" w:pos="284"/>
        <w:tab w:val="left" w:pos="567"/>
        <w:tab w:val="left" w:pos="851"/>
        <w:tab w:val="left" w:pos="1134"/>
        <w:tab w:val="left" w:pos="1418"/>
      </w:tabs>
      <w:spacing w:before="40"/>
    </w:pPr>
    <w:rPr>
      <w:noProof w:val="0"/>
      <w:szCs w:val="24"/>
      <w:lang w:val="fr-FR" w:eastAsia="fr-FR"/>
    </w:rPr>
  </w:style>
  <w:style w:type="paragraph" w:customStyle="1" w:styleId="Par-bullet">
    <w:name w:val="Par-bullet"/>
    <w:basedOn w:val="Normal"/>
    <w:next w:val="Normal"/>
    <w:rsid w:val="002022AB"/>
    <w:pPr>
      <w:widowControl w:val="0"/>
      <w:numPr>
        <w:numId w:val="3"/>
      </w:numPr>
      <w:tabs>
        <w:tab w:val="num" w:pos="567"/>
      </w:tabs>
      <w:spacing w:line="360" w:lineRule="auto"/>
      <w:ind w:left="567" w:hanging="567"/>
    </w:pPr>
    <w:rPr>
      <w:noProof w:val="0"/>
      <w:szCs w:val="24"/>
      <w:lang w:val="fr-FR" w:eastAsia="fr-FR"/>
    </w:rPr>
  </w:style>
  <w:style w:type="paragraph" w:customStyle="1" w:styleId="Par-equal">
    <w:name w:val="Par-equal"/>
    <w:basedOn w:val="Normal"/>
    <w:next w:val="Normal"/>
    <w:rsid w:val="002022AB"/>
    <w:pPr>
      <w:widowControl w:val="0"/>
      <w:numPr>
        <w:numId w:val="5"/>
      </w:numPr>
      <w:spacing w:line="360" w:lineRule="auto"/>
    </w:pPr>
    <w:rPr>
      <w:noProof w:val="0"/>
      <w:szCs w:val="24"/>
      <w:lang w:val="fr-FR" w:eastAsia="fr-FR"/>
    </w:rPr>
  </w:style>
  <w:style w:type="paragraph" w:customStyle="1" w:styleId="Par-number10">
    <w:name w:val="Par-number (1)"/>
    <w:basedOn w:val="Normal"/>
    <w:next w:val="Normal"/>
    <w:rsid w:val="002022AB"/>
    <w:pPr>
      <w:widowControl w:val="0"/>
      <w:numPr>
        <w:numId w:val="6"/>
      </w:numPr>
      <w:spacing w:line="360" w:lineRule="auto"/>
    </w:pPr>
    <w:rPr>
      <w:noProof w:val="0"/>
      <w:szCs w:val="24"/>
      <w:lang w:val="fr-FR" w:eastAsia="fr-FR"/>
    </w:rPr>
  </w:style>
  <w:style w:type="paragraph" w:customStyle="1" w:styleId="Par-number11">
    <w:name w:val="Par-number 1."/>
    <w:basedOn w:val="Normal"/>
    <w:next w:val="Normal"/>
    <w:rsid w:val="002022AB"/>
    <w:pPr>
      <w:widowControl w:val="0"/>
      <w:numPr>
        <w:numId w:val="8"/>
      </w:numPr>
      <w:spacing w:line="360" w:lineRule="auto"/>
    </w:pPr>
    <w:rPr>
      <w:noProof w:val="0"/>
      <w:szCs w:val="24"/>
      <w:lang w:val="fr-FR" w:eastAsia="fr-FR"/>
    </w:rPr>
  </w:style>
  <w:style w:type="paragraph" w:customStyle="1" w:styleId="Par-numberI">
    <w:name w:val="Par-number I."/>
    <w:basedOn w:val="Normal"/>
    <w:next w:val="Normal"/>
    <w:rsid w:val="002022AB"/>
    <w:pPr>
      <w:widowControl w:val="0"/>
      <w:numPr>
        <w:numId w:val="10"/>
      </w:numPr>
      <w:spacing w:line="360" w:lineRule="auto"/>
    </w:pPr>
    <w:rPr>
      <w:noProof w:val="0"/>
      <w:szCs w:val="24"/>
      <w:lang w:val="fr-FR" w:eastAsia="fr-FR"/>
    </w:rPr>
  </w:style>
  <w:style w:type="paragraph" w:customStyle="1" w:styleId="Par-dash">
    <w:name w:val="Par-dash"/>
    <w:basedOn w:val="Normal"/>
    <w:next w:val="Normal"/>
    <w:rsid w:val="002022AB"/>
    <w:pPr>
      <w:widowControl w:val="0"/>
      <w:numPr>
        <w:numId w:val="4"/>
      </w:numPr>
      <w:tabs>
        <w:tab w:val="num" w:pos="567"/>
      </w:tabs>
      <w:spacing w:line="360" w:lineRule="auto"/>
    </w:pPr>
    <w:rPr>
      <w:noProof w:val="0"/>
      <w:szCs w:val="24"/>
      <w:lang w:val="fr-FR" w:eastAsia="fr-FR"/>
    </w:rPr>
  </w:style>
  <w:style w:type="paragraph" w:customStyle="1" w:styleId="EntLogo">
    <w:name w:val="EntLogo"/>
    <w:basedOn w:val="Normal"/>
    <w:next w:val="EntInstit"/>
    <w:rsid w:val="002022AB"/>
    <w:pPr>
      <w:widowControl w:val="0"/>
      <w:spacing w:line="360" w:lineRule="auto"/>
    </w:pPr>
    <w:rPr>
      <w:b/>
      <w:bCs/>
      <w:noProof w:val="0"/>
      <w:szCs w:val="24"/>
      <w:lang w:val="fr-FR" w:eastAsia="fr-FR"/>
    </w:rPr>
  </w:style>
  <w:style w:type="paragraph" w:customStyle="1" w:styleId="FooterLandscape">
    <w:name w:val="FooterLandscape"/>
    <w:basedOn w:val="Footer"/>
    <w:rsid w:val="002022AB"/>
    <w:pPr>
      <w:widowControl w:val="0"/>
      <w:pBdr>
        <w:top w:val="none" w:sz="0" w:space="0" w:color="auto"/>
      </w:pBdr>
      <w:tabs>
        <w:tab w:val="clear" w:pos="9214"/>
        <w:tab w:val="center" w:pos="7371"/>
        <w:tab w:val="center" w:pos="11340"/>
        <w:tab w:val="right" w:pos="14572"/>
      </w:tabs>
    </w:pPr>
    <w:rPr>
      <w:noProof w:val="0"/>
      <w:sz w:val="24"/>
      <w:szCs w:val="24"/>
      <w:lang w:val="fr-FR" w:eastAsia="fr-FR"/>
    </w:rPr>
  </w:style>
  <w:style w:type="paragraph" w:customStyle="1" w:styleId="Par-numberA">
    <w:name w:val="Par-number A."/>
    <w:basedOn w:val="Normal"/>
    <w:next w:val="Normal"/>
    <w:rsid w:val="002022AB"/>
    <w:pPr>
      <w:widowControl w:val="0"/>
      <w:numPr>
        <w:numId w:val="9"/>
      </w:numPr>
      <w:spacing w:line="360" w:lineRule="auto"/>
    </w:pPr>
    <w:rPr>
      <w:noProof w:val="0"/>
      <w:szCs w:val="24"/>
      <w:lang w:val="fr-FR" w:eastAsia="fr-FR"/>
    </w:rPr>
  </w:style>
  <w:style w:type="paragraph" w:styleId="TOC5">
    <w:name w:val="toc 5"/>
    <w:basedOn w:val="Normal"/>
    <w:next w:val="Normal"/>
    <w:autoRedefine/>
    <w:rsid w:val="002022AB"/>
    <w:pPr>
      <w:widowControl w:val="0"/>
      <w:tabs>
        <w:tab w:val="left" w:pos="2835"/>
        <w:tab w:val="right" w:leader="dot" w:pos="9639"/>
      </w:tabs>
      <w:spacing w:line="360" w:lineRule="auto"/>
      <w:ind w:left="2835" w:right="567" w:hanging="567"/>
    </w:pPr>
    <w:rPr>
      <w:noProof w:val="0"/>
      <w:szCs w:val="24"/>
      <w:lang w:val="fr-FR" w:eastAsia="fr-FR"/>
    </w:rPr>
  </w:style>
  <w:style w:type="paragraph" w:styleId="TOC6">
    <w:name w:val="toc 6"/>
    <w:basedOn w:val="Normal"/>
    <w:next w:val="Normal"/>
    <w:autoRedefine/>
    <w:rsid w:val="002022AB"/>
    <w:pPr>
      <w:widowControl w:val="0"/>
      <w:tabs>
        <w:tab w:val="left" w:pos="3402"/>
        <w:tab w:val="right" w:leader="dot" w:pos="9639"/>
      </w:tabs>
      <w:spacing w:line="360" w:lineRule="auto"/>
      <w:ind w:left="3402" w:right="567" w:hanging="567"/>
    </w:pPr>
    <w:rPr>
      <w:noProof w:val="0"/>
      <w:szCs w:val="24"/>
      <w:lang w:val="fr-FR" w:eastAsia="fr-FR"/>
    </w:rPr>
  </w:style>
  <w:style w:type="paragraph" w:styleId="TOC7">
    <w:name w:val="toc 7"/>
    <w:basedOn w:val="Normal"/>
    <w:next w:val="Normal"/>
    <w:autoRedefine/>
    <w:rsid w:val="002022AB"/>
    <w:pPr>
      <w:widowControl w:val="0"/>
      <w:tabs>
        <w:tab w:val="left" w:pos="3969"/>
        <w:tab w:val="right" w:leader="dot" w:pos="9639"/>
      </w:tabs>
      <w:spacing w:line="360" w:lineRule="auto"/>
      <w:ind w:left="3969" w:right="567" w:hanging="567"/>
    </w:pPr>
    <w:rPr>
      <w:noProof w:val="0"/>
      <w:szCs w:val="24"/>
      <w:lang w:val="fr-FR" w:eastAsia="fr-FR"/>
    </w:rPr>
  </w:style>
  <w:style w:type="paragraph" w:styleId="TOC8">
    <w:name w:val="toc 8"/>
    <w:basedOn w:val="Normal"/>
    <w:next w:val="Normal"/>
    <w:autoRedefine/>
    <w:rsid w:val="002022AB"/>
    <w:pPr>
      <w:widowControl w:val="0"/>
      <w:tabs>
        <w:tab w:val="left" w:pos="4536"/>
        <w:tab w:val="right" w:leader="dot" w:pos="9639"/>
      </w:tabs>
      <w:spacing w:line="360" w:lineRule="auto"/>
      <w:ind w:left="4536" w:right="567" w:hanging="567"/>
    </w:pPr>
    <w:rPr>
      <w:noProof w:val="0"/>
      <w:szCs w:val="24"/>
      <w:lang w:val="fr-FR" w:eastAsia="fr-FR"/>
    </w:rPr>
  </w:style>
  <w:style w:type="paragraph" w:styleId="TOC9">
    <w:name w:val="toc 9"/>
    <w:basedOn w:val="Normal"/>
    <w:next w:val="Normal"/>
    <w:autoRedefine/>
    <w:rsid w:val="002022AB"/>
    <w:pPr>
      <w:widowControl w:val="0"/>
      <w:tabs>
        <w:tab w:val="left" w:pos="5103"/>
        <w:tab w:val="right" w:leader="dot" w:pos="9639"/>
      </w:tabs>
      <w:spacing w:line="360" w:lineRule="auto"/>
      <w:ind w:left="5103" w:right="567" w:hanging="567"/>
    </w:pPr>
    <w:rPr>
      <w:noProof w:val="0"/>
      <w:szCs w:val="24"/>
      <w:lang w:val="fr-FR" w:eastAsia="fr-FR"/>
    </w:rPr>
  </w:style>
  <w:style w:type="paragraph" w:styleId="EndnoteText">
    <w:name w:val="endnote text"/>
    <w:basedOn w:val="Normal"/>
    <w:link w:val="EndnoteTextChar"/>
    <w:rsid w:val="002022AB"/>
    <w:pPr>
      <w:widowControl w:val="0"/>
      <w:tabs>
        <w:tab w:val="left" w:pos="567"/>
      </w:tabs>
      <w:ind w:left="567" w:hanging="567"/>
    </w:pPr>
    <w:rPr>
      <w:noProof w:val="0"/>
      <w:szCs w:val="24"/>
      <w:lang w:val="fr-FR" w:eastAsia="fr-FR"/>
    </w:rPr>
  </w:style>
  <w:style w:type="character" w:customStyle="1" w:styleId="EndnoteTextChar">
    <w:name w:val="Endnote Text Char"/>
    <w:link w:val="EndnoteText"/>
    <w:rsid w:val="002022AB"/>
    <w:rPr>
      <w:sz w:val="24"/>
      <w:szCs w:val="24"/>
    </w:rPr>
  </w:style>
  <w:style w:type="character" w:styleId="EndnoteReference">
    <w:name w:val="endnote reference"/>
    <w:rsid w:val="002022AB"/>
    <w:rPr>
      <w:b/>
      <w:bCs/>
      <w:vertAlign w:val="superscript"/>
      <w:lang w:val="fr-FR" w:eastAsia="fr-FR"/>
    </w:rPr>
  </w:style>
  <w:style w:type="paragraph" w:customStyle="1" w:styleId="AC">
    <w:name w:val="AC"/>
    <w:basedOn w:val="Normal"/>
    <w:next w:val="Normal"/>
    <w:rsid w:val="002022AB"/>
    <w:pPr>
      <w:widowControl w:val="0"/>
      <w:spacing w:line="360" w:lineRule="auto"/>
    </w:pPr>
    <w:rPr>
      <w:b/>
      <w:bCs/>
      <w:noProof w:val="0"/>
      <w:sz w:val="40"/>
      <w:szCs w:val="40"/>
      <w:lang w:val="fr-FR" w:eastAsia="fr-FR"/>
    </w:rPr>
  </w:style>
  <w:style w:type="paragraph" w:customStyle="1" w:styleId="Par-numberi0">
    <w:name w:val="Par-number (i)"/>
    <w:basedOn w:val="Normal"/>
    <w:next w:val="Normal"/>
    <w:rsid w:val="002022AB"/>
    <w:pPr>
      <w:widowControl w:val="0"/>
      <w:numPr>
        <w:numId w:val="1"/>
      </w:numPr>
      <w:tabs>
        <w:tab w:val="clear" w:pos="360"/>
        <w:tab w:val="left" w:pos="567"/>
      </w:tabs>
      <w:spacing w:line="360" w:lineRule="auto"/>
      <w:ind w:left="567" w:hanging="567"/>
    </w:pPr>
    <w:rPr>
      <w:noProof w:val="0"/>
      <w:szCs w:val="24"/>
      <w:lang w:val="fr-FR" w:eastAsia="fr-FR"/>
    </w:rPr>
  </w:style>
  <w:style w:type="paragraph" w:customStyle="1" w:styleId="Par-numbera0">
    <w:name w:val="Par-number (a)"/>
    <w:basedOn w:val="Normal"/>
    <w:next w:val="Normal"/>
    <w:rsid w:val="002022AB"/>
    <w:pPr>
      <w:widowControl w:val="0"/>
      <w:numPr>
        <w:numId w:val="2"/>
      </w:numPr>
      <w:tabs>
        <w:tab w:val="num" w:pos="567"/>
      </w:tabs>
      <w:spacing w:line="360" w:lineRule="auto"/>
      <w:ind w:left="567" w:hanging="567"/>
    </w:pPr>
    <w:rPr>
      <w:noProof w:val="0"/>
      <w:szCs w:val="24"/>
      <w:lang w:val="fr-FR" w:eastAsia="fr-FR"/>
    </w:rPr>
  </w:style>
  <w:style w:type="character" w:customStyle="1" w:styleId="DontTranslate">
    <w:name w:val="DontTranslate"/>
    <w:rsid w:val="002022AB"/>
    <w:rPr>
      <w:color w:val="FF0000"/>
      <w:lang w:val="fr-FR" w:eastAsia="fr-FR"/>
    </w:rPr>
  </w:style>
  <w:style w:type="paragraph" w:customStyle="1" w:styleId="AddReference">
    <w:name w:val="Add Reference"/>
    <w:basedOn w:val="Normal"/>
    <w:rsid w:val="002022AB"/>
    <w:pPr>
      <w:widowControl w:val="0"/>
      <w:pBdr>
        <w:top w:val="single" w:sz="4" w:space="1" w:color="auto"/>
        <w:left w:val="single" w:sz="4" w:space="4" w:color="auto"/>
        <w:bottom w:val="single" w:sz="4" w:space="1" w:color="auto"/>
        <w:right w:val="single" w:sz="4" w:space="4" w:color="auto"/>
      </w:pBdr>
      <w:ind w:left="7655" w:right="-454"/>
    </w:pPr>
    <w:rPr>
      <w:i/>
      <w:iCs/>
      <w:noProof w:val="0"/>
      <w:sz w:val="20"/>
      <w:lang w:val="fr-FR" w:eastAsia="fr-FR"/>
    </w:rPr>
  </w:style>
  <w:style w:type="paragraph" w:styleId="DocumentMap">
    <w:name w:val="Document Map"/>
    <w:basedOn w:val="Normal"/>
    <w:link w:val="DocumentMapChar"/>
    <w:rsid w:val="002022AB"/>
    <w:pPr>
      <w:widowControl w:val="0"/>
      <w:shd w:val="clear" w:color="auto" w:fill="000080"/>
      <w:spacing w:line="360" w:lineRule="auto"/>
    </w:pPr>
    <w:rPr>
      <w:rFonts w:ascii="Tahoma" w:hAnsi="Tahoma" w:cs="Tahoma"/>
      <w:noProof w:val="0"/>
      <w:szCs w:val="24"/>
      <w:lang w:val="fr-FR" w:eastAsia="fr-FR"/>
    </w:rPr>
  </w:style>
  <w:style w:type="character" w:customStyle="1" w:styleId="DocumentMapChar">
    <w:name w:val="Document Map Char"/>
    <w:link w:val="DocumentMap"/>
    <w:rsid w:val="002022AB"/>
    <w:rPr>
      <w:rFonts w:ascii="Tahoma" w:hAnsi="Tahoma" w:cs="Tahoma"/>
      <w:sz w:val="24"/>
      <w:szCs w:val="24"/>
      <w:shd w:val="clear" w:color="auto" w:fill="000080"/>
    </w:rPr>
  </w:style>
  <w:style w:type="paragraph" w:customStyle="1" w:styleId="Default">
    <w:name w:val="Default"/>
    <w:rsid w:val="002022AB"/>
    <w:pPr>
      <w:autoSpaceDE w:val="0"/>
      <w:autoSpaceDN w:val="0"/>
      <w:adjustRightInd w:val="0"/>
    </w:pPr>
    <w:rPr>
      <w:rFonts w:ascii="Verdana" w:hAnsi="Verdana" w:cs="Verdana"/>
      <w:color w:val="000000"/>
      <w:sz w:val="24"/>
      <w:szCs w:val="24"/>
      <w:lang w:val="fr-FR" w:eastAsia="fr-FR"/>
    </w:rPr>
  </w:style>
  <w:style w:type="paragraph" w:customStyle="1" w:styleId="Statut">
    <w:name w:val="Statut"/>
    <w:basedOn w:val="Normal"/>
    <w:next w:val="Typedudocument"/>
    <w:rsid w:val="002022AB"/>
    <w:pPr>
      <w:spacing w:before="360"/>
      <w:jc w:val="center"/>
    </w:pPr>
    <w:rPr>
      <w:noProof w:val="0"/>
      <w:szCs w:val="24"/>
      <w:lang w:val="fr-FR" w:eastAsia="fr-FR"/>
    </w:rPr>
  </w:style>
  <w:style w:type="paragraph" w:customStyle="1" w:styleId="Typedudocument">
    <w:name w:val="Type du document"/>
    <w:basedOn w:val="Normal"/>
    <w:next w:val="Normal"/>
    <w:rsid w:val="002022AB"/>
    <w:pPr>
      <w:spacing w:before="360"/>
      <w:jc w:val="center"/>
    </w:pPr>
    <w:rPr>
      <w:b/>
      <w:bCs/>
      <w:noProof w:val="0"/>
      <w:szCs w:val="24"/>
      <w:lang w:val="fr-FR" w:eastAsia="fr-FR"/>
    </w:rPr>
  </w:style>
  <w:style w:type="paragraph" w:customStyle="1" w:styleId="Titrearticle">
    <w:name w:val="Titre article"/>
    <w:basedOn w:val="Normal"/>
    <w:next w:val="Normal"/>
    <w:rsid w:val="002022AB"/>
    <w:pPr>
      <w:keepNext/>
      <w:spacing w:before="360" w:after="120"/>
      <w:jc w:val="center"/>
    </w:pPr>
    <w:rPr>
      <w:i/>
      <w:iCs/>
      <w:noProof w:val="0"/>
      <w:szCs w:val="24"/>
      <w:lang w:val="fr-FR" w:eastAsia="fr-FR"/>
    </w:rPr>
  </w:style>
  <w:style w:type="paragraph" w:customStyle="1" w:styleId="ListNumber1">
    <w:name w:val="List Number 1"/>
    <w:basedOn w:val="Normal"/>
    <w:rsid w:val="002022AB"/>
    <w:pPr>
      <w:numPr>
        <w:numId w:val="22"/>
      </w:numPr>
      <w:spacing w:before="120" w:after="120"/>
      <w:jc w:val="both"/>
    </w:pPr>
    <w:rPr>
      <w:noProof w:val="0"/>
      <w:szCs w:val="24"/>
      <w:lang w:val="fr-FR" w:eastAsia="fr-FR"/>
    </w:rPr>
  </w:style>
  <w:style w:type="paragraph" w:customStyle="1" w:styleId="ListNumber1Level2">
    <w:name w:val="List Number 1 (Level 2)"/>
    <w:basedOn w:val="Normal"/>
    <w:rsid w:val="002022AB"/>
    <w:pPr>
      <w:numPr>
        <w:ilvl w:val="1"/>
        <w:numId w:val="22"/>
      </w:numPr>
      <w:spacing w:before="120" w:after="120"/>
      <w:jc w:val="both"/>
    </w:pPr>
    <w:rPr>
      <w:noProof w:val="0"/>
      <w:szCs w:val="24"/>
      <w:lang w:val="fr-FR" w:eastAsia="fr-FR"/>
    </w:rPr>
  </w:style>
  <w:style w:type="paragraph" w:customStyle="1" w:styleId="ListNumber1Level3">
    <w:name w:val="List Number 1 (Level 3)"/>
    <w:basedOn w:val="Normal"/>
    <w:rsid w:val="002022AB"/>
    <w:pPr>
      <w:numPr>
        <w:ilvl w:val="2"/>
        <w:numId w:val="22"/>
      </w:numPr>
      <w:spacing w:before="120" w:after="120"/>
      <w:jc w:val="both"/>
    </w:pPr>
    <w:rPr>
      <w:noProof w:val="0"/>
      <w:szCs w:val="24"/>
      <w:lang w:val="fr-FR" w:eastAsia="fr-FR"/>
    </w:rPr>
  </w:style>
  <w:style w:type="paragraph" w:customStyle="1" w:styleId="ListNumber1Level4">
    <w:name w:val="List Number 1 (Level 4)"/>
    <w:basedOn w:val="Normal"/>
    <w:rsid w:val="002022AB"/>
    <w:pPr>
      <w:numPr>
        <w:ilvl w:val="3"/>
        <w:numId w:val="22"/>
      </w:numPr>
      <w:spacing w:before="120" w:after="120"/>
      <w:jc w:val="both"/>
    </w:pPr>
    <w:rPr>
      <w:noProof w:val="0"/>
      <w:szCs w:val="24"/>
      <w:lang w:val="fr-FR" w:eastAsia="fr-FR"/>
    </w:rPr>
  </w:style>
  <w:style w:type="paragraph" w:customStyle="1" w:styleId="Formatvorlage1">
    <w:name w:val="Formatvorlage1"/>
    <w:basedOn w:val="FootnoteText"/>
    <w:rsid w:val="002022AB"/>
    <w:pPr>
      <w:keepLines w:val="0"/>
      <w:spacing w:line="240" w:lineRule="auto"/>
      <w:ind w:left="0" w:firstLine="0"/>
      <w:jc w:val="both"/>
    </w:pPr>
    <w:rPr>
      <w:noProof w:val="0"/>
      <w:sz w:val="20"/>
      <w:lang w:val="fr-FR" w:eastAsia="fr-FR"/>
    </w:rPr>
  </w:style>
  <w:style w:type="paragraph" w:customStyle="1" w:styleId="LightGrid-Accent31">
    <w:name w:val="Light Grid - Accent 31"/>
    <w:basedOn w:val="Normal"/>
    <w:rsid w:val="002022AB"/>
    <w:pPr>
      <w:ind w:left="720"/>
    </w:pPr>
    <w:rPr>
      <w:noProof w:val="0"/>
      <w:szCs w:val="24"/>
      <w:lang w:val="fr-FR" w:eastAsia="fr-FR"/>
    </w:rPr>
  </w:style>
  <w:style w:type="paragraph" w:styleId="NormalWeb">
    <w:name w:val="Normal (Web)"/>
    <w:basedOn w:val="Normal"/>
    <w:rsid w:val="002022AB"/>
    <w:pPr>
      <w:spacing w:before="100" w:beforeAutospacing="1" w:after="100" w:afterAutospacing="1"/>
    </w:pPr>
    <w:rPr>
      <w:noProof w:val="0"/>
      <w:szCs w:val="24"/>
      <w:lang w:val="fr-FR" w:eastAsia="fr-FR"/>
    </w:rPr>
  </w:style>
  <w:style w:type="paragraph" w:styleId="Title">
    <w:name w:val="Title"/>
    <w:basedOn w:val="Normal"/>
    <w:link w:val="TitleChar"/>
    <w:qFormat/>
    <w:rsid w:val="002022AB"/>
    <w:pPr>
      <w:autoSpaceDE w:val="0"/>
      <w:autoSpaceDN w:val="0"/>
      <w:jc w:val="center"/>
    </w:pPr>
    <w:rPr>
      <w:rFonts w:ascii="Garamond" w:hAnsi="Garamond" w:cs="Garamond"/>
      <w:i/>
      <w:iCs/>
      <w:noProof w:val="0"/>
      <w:szCs w:val="24"/>
      <w:lang w:val="fr-FR" w:eastAsia="fr-FR"/>
    </w:rPr>
  </w:style>
  <w:style w:type="character" w:customStyle="1" w:styleId="TitleChar">
    <w:name w:val="Title Char"/>
    <w:link w:val="Title"/>
    <w:rsid w:val="002022AB"/>
    <w:rPr>
      <w:rFonts w:ascii="Garamond" w:hAnsi="Garamond" w:cs="Garamond"/>
      <w:i/>
      <w:iCs/>
      <w:sz w:val="24"/>
      <w:szCs w:val="24"/>
    </w:rPr>
  </w:style>
  <w:style w:type="paragraph" w:styleId="ListNumber">
    <w:name w:val="List Number"/>
    <w:basedOn w:val="Normal"/>
    <w:rsid w:val="002022AB"/>
    <w:pPr>
      <w:numPr>
        <w:numId w:val="24"/>
      </w:numPr>
      <w:spacing w:before="120" w:after="120"/>
      <w:jc w:val="both"/>
    </w:pPr>
    <w:rPr>
      <w:noProof w:val="0"/>
      <w:szCs w:val="24"/>
      <w:lang w:val="fr-FR" w:eastAsia="fr-FR"/>
    </w:rPr>
  </w:style>
  <w:style w:type="paragraph" w:styleId="ListNumber4">
    <w:name w:val="List Number 4"/>
    <w:basedOn w:val="Normal"/>
    <w:rsid w:val="002022AB"/>
    <w:pPr>
      <w:numPr>
        <w:numId w:val="23"/>
      </w:numPr>
      <w:spacing w:before="120" w:after="120"/>
      <w:jc w:val="both"/>
    </w:pPr>
    <w:rPr>
      <w:noProof w:val="0"/>
      <w:szCs w:val="24"/>
      <w:lang w:val="fr-FR" w:eastAsia="fr-FR"/>
    </w:rPr>
  </w:style>
  <w:style w:type="paragraph" w:customStyle="1" w:styleId="NumPar1">
    <w:name w:val="NumPar 1"/>
    <w:basedOn w:val="Normal"/>
    <w:next w:val="Normal"/>
    <w:rsid w:val="002022AB"/>
    <w:pPr>
      <w:numPr>
        <w:numId w:val="25"/>
      </w:numPr>
      <w:spacing w:before="120" w:after="120"/>
      <w:jc w:val="both"/>
    </w:pPr>
    <w:rPr>
      <w:noProof w:val="0"/>
      <w:szCs w:val="24"/>
      <w:lang w:val="fr-FR" w:eastAsia="fr-FR"/>
    </w:rPr>
  </w:style>
  <w:style w:type="paragraph" w:customStyle="1" w:styleId="NumPar2">
    <w:name w:val="NumPar 2"/>
    <w:basedOn w:val="Normal"/>
    <w:next w:val="Normal"/>
    <w:rsid w:val="002022AB"/>
    <w:pPr>
      <w:numPr>
        <w:ilvl w:val="1"/>
        <w:numId w:val="25"/>
      </w:numPr>
      <w:spacing w:before="120" w:after="120"/>
      <w:jc w:val="both"/>
    </w:pPr>
    <w:rPr>
      <w:noProof w:val="0"/>
      <w:szCs w:val="24"/>
      <w:lang w:val="fr-FR" w:eastAsia="fr-FR"/>
    </w:rPr>
  </w:style>
  <w:style w:type="paragraph" w:customStyle="1" w:styleId="NumPar3">
    <w:name w:val="NumPar 3"/>
    <w:basedOn w:val="Normal"/>
    <w:next w:val="Normal"/>
    <w:rsid w:val="002022AB"/>
    <w:pPr>
      <w:numPr>
        <w:ilvl w:val="2"/>
        <w:numId w:val="25"/>
      </w:numPr>
      <w:spacing w:before="120" w:after="120"/>
      <w:jc w:val="both"/>
    </w:pPr>
    <w:rPr>
      <w:noProof w:val="0"/>
      <w:szCs w:val="24"/>
      <w:lang w:val="fr-FR" w:eastAsia="fr-FR"/>
    </w:rPr>
  </w:style>
  <w:style w:type="paragraph" w:customStyle="1" w:styleId="NumPar4">
    <w:name w:val="NumPar 4"/>
    <w:basedOn w:val="Normal"/>
    <w:next w:val="Normal"/>
    <w:rsid w:val="002022AB"/>
    <w:pPr>
      <w:numPr>
        <w:ilvl w:val="3"/>
        <w:numId w:val="25"/>
      </w:numPr>
      <w:spacing w:before="120" w:after="120"/>
      <w:jc w:val="both"/>
    </w:pPr>
    <w:rPr>
      <w:noProof w:val="0"/>
      <w:szCs w:val="24"/>
      <w:lang w:val="fr-FR" w:eastAsia="fr-FR"/>
    </w:rPr>
  </w:style>
  <w:style w:type="paragraph" w:customStyle="1" w:styleId="ChapterTitle">
    <w:name w:val="ChapterTitle"/>
    <w:basedOn w:val="Normal"/>
    <w:next w:val="Normal"/>
    <w:rsid w:val="002022AB"/>
    <w:pPr>
      <w:keepNext/>
      <w:spacing w:before="120" w:after="360"/>
      <w:jc w:val="center"/>
    </w:pPr>
    <w:rPr>
      <w:b/>
      <w:bCs/>
      <w:noProof w:val="0"/>
      <w:sz w:val="32"/>
      <w:szCs w:val="32"/>
      <w:lang w:val="fr-FR" w:eastAsia="fr-FR"/>
    </w:rPr>
  </w:style>
  <w:style w:type="paragraph" w:customStyle="1" w:styleId="ListNumberLevel2">
    <w:name w:val="List Number (Level 2)"/>
    <w:basedOn w:val="Normal"/>
    <w:rsid w:val="002022AB"/>
    <w:pPr>
      <w:numPr>
        <w:ilvl w:val="1"/>
        <w:numId w:val="24"/>
      </w:numPr>
      <w:spacing w:before="120" w:after="120"/>
      <w:jc w:val="both"/>
    </w:pPr>
    <w:rPr>
      <w:noProof w:val="0"/>
      <w:szCs w:val="24"/>
      <w:lang w:val="fr-FR" w:eastAsia="fr-FR"/>
    </w:rPr>
  </w:style>
  <w:style w:type="paragraph" w:customStyle="1" w:styleId="ListNumber4Level2">
    <w:name w:val="List Number 4 (Level 2)"/>
    <w:basedOn w:val="Normal"/>
    <w:rsid w:val="002022AB"/>
    <w:pPr>
      <w:numPr>
        <w:ilvl w:val="1"/>
        <w:numId w:val="23"/>
      </w:numPr>
      <w:spacing w:before="120" w:after="120"/>
      <w:jc w:val="both"/>
    </w:pPr>
    <w:rPr>
      <w:noProof w:val="0"/>
      <w:szCs w:val="24"/>
      <w:lang w:val="fr-FR" w:eastAsia="fr-FR"/>
    </w:rPr>
  </w:style>
  <w:style w:type="paragraph" w:customStyle="1" w:styleId="ListNumberLevel3">
    <w:name w:val="List Number (Level 3)"/>
    <w:basedOn w:val="Normal"/>
    <w:rsid w:val="002022AB"/>
    <w:pPr>
      <w:numPr>
        <w:ilvl w:val="2"/>
        <w:numId w:val="24"/>
      </w:numPr>
      <w:spacing w:before="120" w:after="120"/>
      <w:jc w:val="both"/>
    </w:pPr>
    <w:rPr>
      <w:noProof w:val="0"/>
      <w:szCs w:val="24"/>
      <w:lang w:val="fr-FR" w:eastAsia="fr-FR"/>
    </w:rPr>
  </w:style>
  <w:style w:type="paragraph" w:customStyle="1" w:styleId="ListNumber4Level3">
    <w:name w:val="List Number 4 (Level 3)"/>
    <w:basedOn w:val="Normal"/>
    <w:rsid w:val="002022AB"/>
    <w:pPr>
      <w:numPr>
        <w:ilvl w:val="2"/>
        <w:numId w:val="23"/>
      </w:numPr>
      <w:spacing w:before="120" w:after="120"/>
      <w:jc w:val="both"/>
    </w:pPr>
    <w:rPr>
      <w:noProof w:val="0"/>
      <w:szCs w:val="24"/>
      <w:lang w:val="fr-FR" w:eastAsia="fr-FR"/>
    </w:rPr>
  </w:style>
  <w:style w:type="paragraph" w:customStyle="1" w:styleId="ListNumberLevel4">
    <w:name w:val="List Number (Level 4)"/>
    <w:basedOn w:val="Normal"/>
    <w:rsid w:val="002022AB"/>
    <w:pPr>
      <w:numPr>
        <w:ilvl w:val="3"/>
        <w:numId w:val="24"/>
      </w:numPr>
      <w:spacing w:before="120" w:after="120"/>
      <w:jc w:val="both"/>
    </w:pPr>
    <w:rPr>
      <w:noProof w:val="0"/>
      <w:szCs w:val="24"/>
      <w:lang w:val="fr-FR" w:eastAsia="fr-FR"/>
    </w:rPr>
  </w:style>
  <w:style w:type="paragraph" w:customStyle="1" w:styleId="ListNumber4Level4">
    <w:name w:val="List Number 4 (Level 4)"/>
    <w:basedOn w:val="Normal"/>
    <w:rsid w:val="002022AB"/>
    <w:pPr>
      <w:numPr>
        <w:ilvl w:val="3"/>
        <w:numId w:val="23"/>
      </w:numPr>
      <w:spacing w:before="120" w:after="120"/>
      <w:jc w:val="both"/>
    </w:pPr>
    <w:rPr>
      <w:noProof w:val="0"/>
      <w:szCs w:val="24"/>
      <w:lang w:val="fr-FR" w:eastAsia="fr-FR"/>
    </w:rPr>
  </w:style>
  <w:style w:type="paragraph" w:customStyle="1" w:styleId="Formuledadoption">
    <w:name w:val="Formule d'adoption"/>
    <w:basedOn w:val="Normal"/>
    <w:next w:val="Titrearticle"/>
    <w:rsid w:val="002022AB"/>
    <w:pPr>
      <w:keepNext/>
      <w:spacing w:before="120" w:after="120"/>
      <w:jc w:val="both"/>
    </w:pPr>
    <w:rPr>
      <w:noProof w:val="0"/>
      <w:szCs w:val="24"/>
      <w:lang w:val="fr-FR" w:eastAsia="fr-FR"/>
    </w:rPr>
  </w:style>
  <w:style w:type="paragraph" w:customStyle="1" w:styleId="Institutionquiagit">
    <w:name w:val="Institution qui agit"/>
    <w:basedOn w:val="Normal"/>
    <w:next w:val="Normal"/>
    <w:rsid w:val="002022AB"/>
    <w:pPr>
      <w:keepNext/>
      <w:spacing w:before="600" w:after="120"/>
      <w:jc w:val="both"/>
    </w:pPr>
    <w:rPr>
      <w:noProof w:val="0"/>
      <w:szCs w:val="24"/>
      <w:lang w:val="fr-FR" w:eastAsia="fr-FR"/>
    </w:rPr>
  </w:style>
  <w:style w:type="paragraph" w:customStyle="1" w:styleId="Titreobjet">
    <w:name w:val="Titre objet"/>
    <w:basedOn w:val="Normal"/>
    <w:next w:val="Normal"/>
    <w:rsid w:val="002022AB"/>
    <w:pPr>
      <w:spacing w:before="360" w:after="360"/>
      <w:jc w:val="center"/>
    </w:pPr>
    <w:rPr>
      <w:b/>
      <w:bCs/>
      <w:noProof w:val="0"/>
      <w:szCs w:val="24"/>
      <w:lang w:val="fr-FR" w:eastAsia="fr-FR"/>
    </w:rPr>
  </w:style>
  <w:style w:type="paragraph" w:customStyle="1" w:styleId="ManualNumPar1">
    <w:name w:val="Manual NumPar 1"/>
    <w:basedOn w:val="Normal"/>
    <w:next w:val="Normal"/>
    <w:rsid w:val="002022AB"/>
    <w:pPr>
      <w:spacing w:before="120" w:after="120"/>
      <w:ind w:left="850" w:hanging="850"/>
      <w:jc w:val="both"/>
    </w:pPr>
    <w:rPr>
      <w:noProof w:val="0"/>
      <w:szCs w:val="24"/>
      <w:lang w:val="fr-FR" w:eastAsia="fr-FR"/>
    </w:rPr>
  </w:style>
  <w:style w:type="paragraph" w:styleId="ListNumber3">
    <w:name w:val="List Number 3"/>
    <w:basedOn w:val="Normal"/>
    <w:rsid w:val="002022AB"/>
    <w:pPr>
      <w:numPr>
        <w:numId w:val="26"/>
      </w:numPr>
      <w:spacing w:before="120" w:after="120"/>
      <w:jc w:val="both"/>
    </w:pPr>
    <w:rPr>
      <w:noProof w:val="0"/>
      <w:szCs w:val="24"/>
      <w:lang w:val="fr-FR" w:eastAsia="fr-FR"/>
    </w:rPr>
  </w:style>
  <w:style w:type="paragraph" w:customStyle="1" w:styleId="ListNumber3Level2">
    <w:name w:val="List Number 3 (Level 2)"/>
    <w:basedOn w:val="Normal"/>
    <w:rsid w:val="002022AB"/>
    <w:pPr>
      <w:numPr>
        <w:ilvl w:val="1"/>
        <w:numId w:val="26"/>
      </w:numPr>
      <w:spacing w:before="120" w:after="120"/>
      <w:jc w:val="both"/>
    </w:pPr>
    <w:rPr>
      <w:noProof w:val="0"/>
      <w:szCs w:val="24"/>
      <w:lang w:val="fr-FR" w:eastAsia="fr-FR"/>
    </w:rPr>
  </w:style>
  <w:style w:type="paragraph" w:customStyle="1" w:styleId="ListNumber3Level3">
    <w:name w:val="List Number 3 (Level 3)"/>
    <w:basedOn w:val="Normal"/>
    <w:rsid w:val="002022AB"/>
    <w:pPr>
      <w:numPr>
        <w:ilvl w:val="2"/>
        <w:numId w:val="26"/>
      </w:numPr>
      <w:spacing w:before="120" w:after="120"/>
      <w:jc w:val="both"/>
    </w:pPr>
    <w:rPr>
      <w:noProof w:val="0"/>
      <w:szCs w:val="24"/>
      <w:lang w:val="fr-FR" w:eastAsia="fr-FR"/>
    </w:rPr>
  </w:style>
  <w:style w:type="paragraph" w:customStyle="1" w:styleId="ListNumber3Level4">
    <w:name w:val="List Number 3 (Level 4)"/>
    <w:basedOn w:val="Normal"/>
    <w:rsid w:val="002022AB"/>
    <w:pPr>
      <w:numPr>
        <w:ilvl w:val="3"/>
        <w:numId w:val="26"/>
      </w:numPr>
      <w:spacing w:before="120" w:after="120"/>
      <w:jc w:val="both"/>
    </w:pPr>
    <w:rPr>
      <w:noProof w:val="0"/>
      <w:szCs w:val="24"/>
      <w:lang w:val="fr-FR" w:eastAsia="fr-FR"/>
    </w:rPr>
  </w:style>
  <w:style w:type="character" w:customStyle="1" w:styleId="longtext1">
    <w:name w:val="long_text1"/>
    <w:rsid w:val="002022AB"/>
    <w:rPr>
      <w:sz w:val="15"/>
      <w:szCs w:val="15"/>
      <w:lang w:val="fr-FR" w:eastAsia="fr-FR"/>
    </w:rPr>
  </w:style>
  <w:style w:type="character" w:styleId="CommentReference">
    <w:name w:val="annotation reference"/>
    <w:rsid w:val="002022AB"/>
    <w:rPr>
      <w:sz w:val="16"/>
      <w:szCs w:val="16"/>
      <w:lang w:val="fr-FR" w:eastAsia="fr-FR"/>
    </w:rPr>
  </w:style>
  <w:style w:type="paragraph" w:customStyle="1" w:styleId="MediumGrid2-Accent11">
    <w:name w:val="Medium Grid 2 - Accent 11"/>
    <w:rsid w:val="002022AB"/>
    <w:rPr>
      <w:rFonts w:ascii="Calibri" w:hAnsi="Calibri" w:cs="Calibri"/>
      <w:sz w:val="22"/>
      <w:szCs w:val="22"/>
      <w:lang w:val="fr-FR" w:eastAsia="fr-FR"/>
    </w:rPr>
  </w:style>
  <w:style w:type="character" w:styleId="Emphasis">
    <w:name w:val="Emphasis"/>
    <w:qFormat/>
    <w:rsid w:val="002022AB"/>
    <w:rPr>
      <w:i/>
      <w:iCs/>
      <w:lang w:val="fr-FR" w:eastAsia="fr-FR"/>
    </w:rPr>
  </w:style>
  <w:style w:type="character" w:customStyle="1" w:styleId="WW8Num8z0">
    <w:name w:val="WW8Num8z0"/>
    <w:rsid w:val="002022AB"/>
    <w:rPr>
      <w:rFonts w:ascii="Symbol" w:hAnsi="Symbol" w:cs="Symbol"/>
      <w:lang w:val="fr-FR" w:eastAsia="fr-FR"/>
    </w:rPr>
  </w:style>
  <w:style w:type="paragraph" w:customStyle="1" w:styleId="Bullet0">
    <w:name w:val="Bullet 0"/>
    <w:basedOn w:val="Normal"/>
    <w:rsid w:val="002022AB"/>
    <w:pPr>
      <w:numPr>
        <w:numId w:val="30"/>
      </w:numPr>
      <w:spacing w:before="120" w:after="120"/>
      <w:jc w:val="both"/>
    </w:pPr>
    <w:rPr>
      <w:noProof w:val="0"/>
      <w:szCs w:val="24"/>
      <w:lang w:val="fr-FR" w:eastAsia="fr-FR"/>
    </w:rPr>
  </w:style>
  <w:style w:type="numbering" w:styleId="111111">
    <w:name w:val="Outline List 2"/>
    <w:basedOn w:val="NoList"/>
    <w:rsid w:val="002022AB"/>
    <w:pPr>
      <w:numPr>
        <w:numId w:val="27"/>
      </w:numPr>
    </w:pPr>
  </w:style>
  <w:style w:type="numbering" w:styleId="1ai">
    <w:name w:val="Outline List 1"/>
    <w:basedOn w:val="NoList"/>
    <w:rsid w:val="002022AB"/>
    <w:pPr>
      <w:numPr>
        <w:numId w:val="28"/>
      </w:numPr>
    </w:pPr>
  </w:style>
  <w:style w:type="numbering" w:styleId="ArticleSection">
    <w:name w:val="Outline List 3"/>
    <w:basedOn w:val="NoList"/>
    <w:rsid w:val="002022AB"/>
    <w:pPr>
      <w:numPr>
        <w:numId w:val="29"/>
      </w:numPr>
    </w:pPr>
  </w:style>
  <w:style w:type="paragraph" w:styleId="BlockText">
    <w:name w:val="Block Text"/>
    <w:basedOn w:val="Normal"/>
    <w:rsid w:val="002022AB"/>
    <w:pPr>
      <w:widowControl w:val="0"/>
      <w:spacing w:after="120" w:line="360" w:lineRule="auto"/>
      <w:ind w:left="1440" w:right="1440"/>
    </w:pPr>
    <w:rPr>
      <w:noProof w:val="0"/>
      <w:szCs w:val="24"/>
      <w:lang w:val="fr-FR" w:eastAsia="fr-FR"/>
    </w:rPr>
  </w:style>
  <w:style w:type="paragraph" w:styleId="BodyText">
    <w:name w:val="Body Text"/>
    <w:basedOn w:val="Normal"/>
    <w:link w:val="BodyTextChar"/>
    <w:rsid w:val="002022AB"/>
    <w:pPr>
      <w:widowControl w:val="0"/>
      <w:spacing w:after="120" w:line="360" w:lineRule="auto"/>
    </w:pPr>
    <w:rPr>
      <w:noProof w:val="0"/>
      <w:szCs w:val="24"/>
      <w:lang w:val="fr-FR" w:eastAsia="fr-FR"/>
    </w:rPr>
  </w:style>
  <w:style w:type="character" w:customStyle="1" w:styleId="BodyTextChar">
    <w:name w:val="Body Text Char"/>
    <w:link w:val="BodyText"/>
    <w:rsid w:val="002022AB"/>
    <w:rPr>
      <w:sz w:val="24"/>
      <w:szCs w:val="24"/>
    </w:rPr>
  </w:style>
  <w:style w:type="paragraph" w:styleId="BodyText2">
    <w:name w:val="Body Text 2"/>
    <w:basedOn w:val="Normal"/>
    <w:link w:val="BodyText2Char"/>
    <w:rsid w:val="002022AB"/>
    <w:pPr>
      <w:widowControl w:val="0"/>
      <w:spacing w:after="120" w:line="480" w:lineRule="auto"/>
    </w:pPr>
    <w:rPr>
      <w:noProof w:val="0"/>
      <w:szCs w:val="24"/>
      <w:lang w:val="fr-FR" w:eastAsia="fr-FR"/>
    </w:rPr>
  </w:style>
  <w:style w:type="character" w:customStyle="1" w:styleId="BodyText2Char">
    <w:name w:val="Body Text 2 Char"/>
    <w:link w:val="BodyText2"/>
    <w:rsid w:val="002022AB"/>
    <w:rPr>
      <w:sz w:val="24"/>
      <w:szCs w:val="24"/>
    </w:rPr>
  </w:style>
  <w:style w:type="paragraph" w:styleId="BodyText3">
    <w:name w:val="Body Text 3"/>
    <w:basedOn w:val="Normal"/>
    <w:link w:val="BodyText3Char"/>
    <w:rsid w:val="002022AB"/>
    <w:pPr>
      <w:widowControl w:val="0"/>
      <w:spacing w:after="120" w:line="360" w:lineRule="auto"/>
    </w:pPr>
    <w:rPr>
      <w:noProof w:val="0"/>
      <w:sz w:val="16"/>
      <w:szCs w:val="16"/>
      <w:lang w:val="fr-FR" w:eastAsia="fr-FR"/>
    </w:rPr>
  </w:style>
  <w:style w:type="character" w:customStyle="1" w:styleId="BodyText3Char">
    <w:name w:val="Body Text 3 Char"/>
    <w:link w:val="BodyText3"/>
    <w:rsid w:val="002022AB"/>
    <w:rPr>
      <w:sz w:val="16"/>
      <w:szCs w:val="16"/>
    </w:rPr>
  </w:style>
  <w:style w:type="paragraph" w:styleId="BodyTextFirstIndent">
    <w:name w:val="Body Text First Indent"/>
    <w:basedOn w:val="BodyText"/>
    <w:link w:val="BodyTextFirstIndentChar"/>
    <w:rsid w:val="002022AB"/>
    <w:pPr>
      <w:ind w:firstLine="210"/>
    </w:pPr>
  </w:style>
  <w:style w:type="character" w:customStyle="1" w:styleId="BodyTextFirstIndentChar">
    <w:name w:val="Body Text First Indent Char"/>
    <w:basedOn w:val="BodyTextChar"/>
    <w:link w:val="BodyTextFirstIndent"/>
    <w:rsid w:val="002022AB"/>
    <w:rPr>
      <w:sz w:val="24"/>
      <w:szCs w:val="24"/>
    </w:rPr>
  </w:style>
  <w:style w:type="paragraph" w:styleId="BodyTextIndent">
    <w:name w:val="Body Text Indent"/>
    <w:basedOn w:val="Normal"/>
    <w:link w:val="BodyTextIndentChar"/>
    <w:rsid w:val="002022AB"/>
    <w:pPr>
      <w:widowControl w:val="0"/>
      <w:spacing w:after="120" w:line="360" w:lineRule="auto"/>
      <w:ind w:left="283"/>
    </w:pPr>
    <w:rPr>
      <w:noProof w:val="0"/>
      <w:szCs w:val="24"/>
      <w:lang w:val="fr-FR" w:eastAsia="fr-FR"/>
    </w:rPr>
  </w:style>
  <w:style w:type="character" w:customStyle="1" w:styleId="BodyTextIndentChar">
    <w:name w:val="Body Text Indent Char"/>
    <w:link w:val="BodyTextIndent"/>
    <w:rsid w:val="002022AB"/>
    <w:rPr>
      <w:sz w:val="24"/>
      <w:szCs w:val="24"/>
    </w:rPr>
  </w:style>
  <w:style w:type="paragraph" w:styleId="BodyTextFirstIndent2">
    <w:name w:val="Body Text First Indent 2"/>
    <w:basedOn w:val="BodyTextIndent"/>
    <w:link w:val="BodyTextFirstIndent2Char"/>
    <w:rsid w:val="002022AB"/>
    <w:pPr>
      <w:ind w:firstLine="210"/>
    </w:pPr>
  </w:style>
  <w:style w:type="character" w:customStyle="1" w:styleId="BodyTextFirstIndent2Char">
    <w:name w:val="Body Text First Indent 2 Char"/>
    <w:basedOn w:val="BodyTextIndentChar"/>
    <w:link w:val="BodyTextFirstIndent2"/>
    <w:rsid w:val="002022AB"/>
    <w:rPr>
      <w:sz w:val="24"/>
      <w:szCs w:val="24"/>
    </w:rPr>
  </w:style>
  <w:style w:type="paragraph" w:styleId="BodyTextIndent2">
    <w:name w:val="Body Text Indent 2"/>
    <w:basedOn w:val="Normal"/>
    <w:link w:val="BodyTextIndent2Char"/>
    <w:rsid w:val="002022AB"/>
    <w:pPr>
      <w:widowControl w:val="0"/>
      <w:spacing w:after="120" w:line="480" w:lineRule="auto"/>
      <w:ind w:left="283"/>
    </w:pPr>
    <w:rPr>
      <w:noProof w:val="0"/>
      <w:szCs w:val="24"/>
      <w:lang w:val="fr-FR" w:eastAsia="fr-FR"/>
    </w:rPr>
  </w:style>
  <w:style w:type="character" w:customStyle="1" w:styleId="BodyTextIndent2Char">
    <w:name w:val="Body Text Indent 2 Char"/>
    <w:link w:val="BodyTextIndent2"/>
    <w:rsid w:val="002022AB"/>
    <w:rPr>
      <w:sz w:val="24"/>
      <w:szCs w:val="24"/>
    </w:rPr>
  </w:style>
  <w:style w:type="paragraph" w:styleId="BodyTextIndent3">
    <w:name w:val="Body Text Indent 3"/>
    <w:basedOn w:val="Normal"/>
    <w:link w:val="BodyTextIndent3Char"/>
    <w:rsid w:val="002022AB"/>
    <w:pPr>
      <w:widowControl w:val="0"/>
      <w:spacing w:after="120" w:line="360" w:lineRule="auto"/>
      <w:ind w:left="283"/>
    </w:pPr>
    <w:rPr>
      <w:noProof w:val="0"/>
      <w:sz w:val="16"/>
      <w:szCs w:val="16"/>
      <w:lang w:val="fr-FR" w:eastAsia="fr-FR"/>
    </w:rPr>
  </w:style>
  <w:style w:type="character" w:customStyle="1" w:styleId="BodyTextIndent3Char">
    <w:name w:val="Body Text Indent 3 Char"/>
    <w:link w:val="BodyTextIndent3"/>
    <w:rsid w:val="002022AB"/>
    <w:rPr>
      <w:sz w:val="16"/>
      <w:szCs w:val="16"/>
    </w:rPr>
  </w:style>
  <w:style w:type="paragraph" w:styleId="Caption">
    <w:name w:val="caption"/>
    <w:basedOn w:val="Normal"/>
    <w:next w:val="Normal"/>
    <w:qFormat/>
    <w:rsid w:val="002022AB"/>
    <w:pPr>
      <w:widowControl w:val="0"/>
      <w:spacing w:before="120" w:after="120" w:line="360" w:lineRule="auto"/>
    </w:pPr>
    <w:rPr>
      <w:b/>
      <w:bCs/>
      <w:noProof w:val="0"/>
      <w:sz w:val="20"/>
      <w:lang w:val="fr-FR" w:eastAsia="fr-FR"/>
    </w:rPr>
  </w:style>
  <w:style w:type="paragraph" w:styleId="Closing">
    <w:name w:val="Closing"/>
    <w:basedOn w:val="Normal"/>
    <w:link w:val="ClosingChar"/>
    <w:rsid w:val="002022AB"/>
    <w:pPr>
      <w:widowControl w:val="0"/>
      <w:spacing w:line="360" w:lineRule="auto"/>
      <w:ind w:left="4252"/>
    </w:pPr>
    <w:rPr>
      <w:noProof w:val="0"/>
      <w:szCs w:val="24"/>
      <w:lang w:val="fr-FR" w:eastAsia="fr-FR"/>
    </w:rPr>
  </w:style>
  <w:style w:type="character" w:customStyle="1" w:styleId="ClosingChar">
    <w:name w:val="Closing Char"/>
    <w:link w:val="Closing"/>
    <w:rsid w:val="002022AB"/>
    <w:rPr>
      <w:sz w:val="24"/>
      <w:szCs w:val="24"/>
    </w:rPr>
  </w:style>
  <w:style w:type="paragraph" w:styleId="Date">
    <w:name w:val="Date"/>
    <w:basedOn w:val="Normal"/>
    <w:next w:val="Normal"/>
    <w:link w:val="DateChar"/>
    <w:rsid w:val="002022AB"/>
    <w:pPr>
      <w:widowControl w:val="0"/>
      <w:spacing w:line="360" w:lineRule="auto"/>
    </w:pPr>
    <w:rPr>
      <w:noProof w:val="0"/>
      <w:szCs w:val="24"/>
      <w:lang w:val="fr-FR" w:eastAsia="fr-FR"/>
    </w:rPr>
  </w:style>
  <w:style w:type="character" w:customStyle="1" w:styleId="DateChar">
    <w:name w:val="Date Char"/>
    <w:link w:val="Date"/>
    <w:rsid w:val="002022AB"/>
    <w:rPr>
      <w:sz w:val="24"/>
      <w:szCs w:val="24"/>
    </w:rPr>
  </w:style>
  <w:style w:type="paragraph" w:styleId="E-mailSignature">
    <w:name w:val="E-mail Signature"/>
    <w:basedOn w:val="Normal"/>
    <w:link w:val="E-mailSignatureChar"/>
    <w:rsid w:val="002022AB"/>
    <w:pPr>
      <w:widowControl w:val="0"/>
      <w:spacing w:line="360" w:lineRule="auto"/>
    </w:pPr>
    <w:rPr>
      <w:noProof w:val="0"/>
      <w:szCs w:val="24"/>
      <w:lang w:val="fr-FR" w:eastAsia="fr-FR"/>
    </w:rPr>
  </w:style>
  <w:style w:type="character" w:customStyle="1" w:styleId="E-mailSignatureChar">
    <w:name w:val="E-mail Signature Char"/>
    <w:link w:val="E-mailSignature"/>
    <w:rsid w:val="002022AB"/>
    <w:rPr>
      <w:sz w:val="24"/>
      <w:szCs w:val="24"/>
    </w:rPr>
  </w:style>
  <w:style w:type="paragraph" w:styleId="EnvelopeAddress">
    <w:name w:val="envelope address"/>
    <w:basedOn w:val="Normal"/>
    <w:rsid w:val="002022AB"/>
    <w:pPr>
      <w:framePr w:w="7920" w:h="1980" w:hRule="exact" w:hSpace="180" w:wrap="auto" w:hAnchor="page" w:xAlign="center" w:yAlign="bottom"/>
      <w:widowControl w:val="0"/>
      <w:spacing w:line="360" w:lineRule="auto"/>
      <w:ind w:left="2880"/>
    </w:pPr>
    <w:rPr>
      <w:rFonts w:ascii="Arial" w:hAnsi="Arial" w:cs="Arial"/>
      <w:noProof w:val="0"/>
      <w:szCs w:val="24"/>
      <w:lang w:val="fr-FR" w:eastAsia="fr-FR"/>
    </w:rPr>
  </w:style>
  <w:style w:type="paragraph" w:styleId="EnvelopeReturn">
    <w:name w:val="envelope return"/>
    <w:basedOn w:val="Normal"/>
    <w:rsid w:val="002022AB"/>
    <w:pPr>
      <w:widowControl w:val="0"/>
      <w:spacing w:line="360" w:lineRule="auto"/>
    </w:pPr>
    <w:rPr>
      <w:rFonts w:ascii="Arial" w:hAnsi="Arial" w:cs="Arial"/>
      <w:noProof w:val="0"/>
      <w:sz w:val="20"/>
      <w:lang w:val="fr-FR" w:eastAsia="fr-FR"/>
    </w:rPr>
  </w:style>
  <w:style w:type="character" w:styleId="FollowedHyperlink">
    <w:name w:val="FollowedHyperlink"/>
    <w:rsid w:val="002022AB"/>
    <w:rPr>
      <w:color w:val="606420"/>
      <w:u w:val="single"/>
      <w:lang w:val="fr-FR" w:eastAsia="fr-FR"/>
    </w:rPr>
  </w:style>
  <w:style w:type="character" w:styleId="HTMLAcronym">
    <w:name w:val="HTML Acronym"/>
    <w:rsid w:val="002022AB"/>
  </w:style>
  <w:style w:type="paragraph" w:styleId="HTMLAddress">
    <w:name w:val="HTML Address"/>
    <w:basedOn w:val="Normal"/>
    <w:link w:val="HTMLAddressChar"/>
    <w:rsid w:val="002022AB"/>
    <w:pPr>
      <w:widowControl w:val="0"/>
      <w:spacing w:line="360" w:lineRule="auto"/>
    </w:pPr>
    <w:rPr>
      <w:i/>
      <w:iCs/>
      <w:noProof w:val="0"/>
      <w:szCs w:val="24"/>
      <w:lang w:val="fr-FR" w:eastAsia="fr-FR"/>
    </w:rPr>
  </w:style>
  <w:style w:type="character" w:customStyle="1" w:styleId="HTMLAddressChar">
    <w:name w:val="HTML Address Char"/>
    <w:link w:val="HTMLAddress"/>
    <w:rsid w:val="002022AB"/>
    <w:rPr>
      <w:i/>
      <w:iCs/>
      <w:sz w:val="24"/>
      <w:szCs w:val="24"/>
    </w:rPr>
  </w:style>
  <w:style w:type="character" w:styleId="HTMLCite">
    <w:name w:val="HTML Cite"/>
    <w:rsid w:val="002022AB"/>
    <w:rPr>
      <w:i/>
      <w:iCs/>
      <w:lang w:val="fr-FR" w:eastAsia="fr-FR"/>
    </w:rPr>
  </w:style>
  <w:style w:type="character" w:styleId="HTMLCode">
    <w:name w:val="HTML Code"/>
    <w:rsid w:val="002022AB"/>
    <w:rPr>
      <w:rFonts w:ascii="Courier New" w:hAnsi="Courier New" w:cs="Courier New"/>
      <w:sz w:val="20"/>
      <w:szCs w:val="20"/>
      <w:lang w:val="fr-FR" w:eastAsia="fr-FR"/>
    </w:rPr>
  </w:style>
  <w:style w:type="character" w:styleId="HTMLDefinition">
    <w:name w:val="HTML Definition"/>
    <w:rsid w:val="002022AB"/>
    <w:rPr>
      <w:i/>
      <w:iCs/>
      <w:lang w:val="fr-FR" w:eastAsia="fr-FR"/>
    </w:rPr>
  </w:style>
  <w:style w:type="character" w:styleId="HTMLKeyboard">
    <w:name w:val="HTML Keyboard"/>
    <w:rsid w:val="002022AB"/>
    <w:rPr>
      <w:rFonts w:ascii="Courier New" w:hAnsi="Courier New" w:cs="Courier New"/>
      <w:sz w:val="20"/>
      <w:szCs w:val="20"/>
      <w:lang w:val="fr-FR" w:eastAsia="fr-FR"/>
    </w:rPr>
  </w:style>
  <w:style w:type="paragraph" w:styleId="HTMLPreformatted">
    <w:name w:val="HTML Preformatted"/>
    <w:basedOn w:val="Normal"/>
    <w:link w:val="HTMLPreformattedChar"/>
    <w:rsid w:val="002022AB"/>
    <w:pPr>
      <w:widowControl w:val="0"/>
      <w:spacing w:line="360" w:lineRule="auto"/>
    </w:pPr>
    <w:rPr>
      <w:rFonts w:ascii="Courier New" w:hAnsi="Courier New" w:cs="Courier New"/>
      <w:noProof w:val="0"/>
      <w:sz w:val="20"/>
      <w:lang w:val="fr-FR" w:eastAsia="fr-FR"/>
    </w:rPr>
  </w:style>
  <w:style w:type="character" w:customStyle="1" w:styleId="HTMLPreformattedChar">
    <w:name w:val="HTML Preformatted Char"/>
    <w:link w:val="HTMLPreformatted"/>
    <w:rsid w:val="002022AB"/>
    <w:rPr>
      <w:rFonts w:ascii="Courier New" w:hAnsi="Courier New" w:cs="Courier New"/>
    </w:rPr>
  </w:style>
  <w:style w:type="character" w:styleId="HTMLSample">
    <w:name w:val="HTML Sample"/>
    <w:rsid w:val="002022AB"/>
    <w:rPr>
      <w:rFonts w:ascii="Courier New" w:hAnsi="Courier New" w:cs="Courier New"/>
      <w:lang w:val="fr-FR" w:eastAsia="fr-FR"/>
    </w:rPr>
  </w:style>
  <w:style w:type="character" w:styleId="HTMLTypewriter">
    <w:name w:val="HTML Typewriter"/>
    <w:rsid w:val="002022AB"/>
    <w:rPr>
      <w:rFonts w:ascii="Courier New" w:hAnsi="Courier New" w:cs="Courier New"/>
      <w:sz w:val="20"/>
      <w:szCs w:val="20"/>
      <w:lang w:val="fr-FR" w:eastAsia="fr-FR"/>
    </w:rPr>
  </w:style>
  <w:style w:type="character" w:styleId="HTMLVariable">
    <w:name w:val="HTML Variable"/>
    <w:rsid w:val="002022AB"/>
    <w:rPr>
      <w:i/>
      <w:iCs/>
      <w:lang w:val="fr-FR" w:eastAsia="fr-FR"/>
    </w:rPr>
  </w:style>
  <w:style w:type="paragraph" w:styleId="Index1">
    <w:name w:val="index 1"/>
    <w:basedOn w:val="Normal"/>
    <w:next w:val="Normal"/>
    <w:autoRedefine/>
    <w:rsid w:val="002022AB"/>
    <w:pPr>
      <w:widowControl w:val="0"/>
      <w:spacing w:line="360" w:lineRule="auto"/>
      <w:ind w:left="240" w:hanging="240"/>
    </w:pPr>
    <w:rPr>
      <w:noProof w:val="0"/>
      <w:szCs w:val="24"/>
      <w:lang w:val="fr-FR" w:eastAsia="fr-FR"/>
    </w:rPr>
  </w:style>
  <w:style w:type="paragraph" w:styleId="Index2">
    <w:name w:val="index 2"/>
    <w:basedOn w:val="Normal"/>
    <w:next w:val="Normal"/>
    <w:autoRedefine/>
    <w:rsid w:val="002022AB"/>
    <w:pPr>
      <w:widowControl w:val="0"/>
      <w:spacing w:line="360" w:lineRule="auto"/>
      <w:ind w:left="480" w:hanging="240"/>
    </w:pPr>
    <w:rPr>
      <w:noProof w:val="0"/>
      <w:szCs w:val="24"/>
      <w:lang w:val="fr-FR" w:eastAsia="fr-FR"/>
    </w:rPr>
  </w:style>
  <w:style w:type="paragraph" w:styleId="Index3">
    <w:name w:val="index 3"/>
    <w:basedOn w:val="Normal"/>
    <w:next w:val="Normal"/>
    <w:autoRedefine/>
    <w:rsid w:val="002022AB"/>
    <w:pPr>
      <w:widowControl w:val="0"/>
      <w:spacing w:line="360" w:lineRule="auto"/>
      <w:ind w:left="720" w:hanging="240"/>
    </w:pPr>
    <w:rPr>
      <w:noProof w:val="0"/>
      <w:szCs w:val="24"/>
      <w:lang w:val="fr-FR" w:eastAsia="fr-FR"/>
    </w:rPr>
  </w:style>
  <w:style w:type="paragraph" w:styleId="Index4">
    <w:name w:val="index 4"/>
    <w:basedOn w:val="Normal"/>
    <w:next w:val="Normal"/>
    <w:autoRedefine/>
    <w:rsid w:val="002022AB"/>
    <w:pPr>
      <w:widowControl w:val="0"/>
      <w:spacing w:line="360" w:lineRule="auto"/>
      <w:ind w:left="960" w:hanging="240"/>
    </w:pPr>
    <w:rPr>
      <w:noProof w:val="0"/>
      <w:szCs w:val="24"/>
      <w:lang w:val="fr-FR" w:eastAsia="fr-FR"/>
    </w:rPr>
  </w:style>
  <w:style w:type="paragraph" w:styleId="Index5">
    <w:name w:val="index 5"/>
    <w:basedOn w:val="Normal"/>
    <w:next w:val="Normal"/>
    <w:autoRedefine/>
    <w:rsid w:val="002022AB"/>
    <w:pPr>
      <w:widowControl w:val="0"/>
      <w:spacing w:line="360" w:lineRule="auto"/>
      <w:ind w:left="1200" w:hanging="240"/>
    </w:pPr>
    <w:rPr>
      <w:noProof w:val="0"/>
      <w:szCs w:val="24"/>
      <w:lang w:val="fr-FR" w:eastAsia="fr-FR"/>
    </w:rPr>
  </w:style>
  <w:style w:type="paragraph" w:styleId="Index6">
    <w:name w:val="index 6"/>
    <w:basedOn w:val="Normal"/>
    <w:next w:val="Normal"/>
    <w:autoRedefine/>
    <w:rsid w:val="002022AB"/>
    <w:pPr>
      <w:widowControl w:val="0"/>
      <w:spacing w:line="360" w:lineRule="auto"/>
      <w:ind w:left="1440" w:hanging="240"/>
    </w:pPr>
    <w:rPr>
      <w:noProof w:val="0"/>
      <w:szCs w:val="24"/>
      <w:lang w:val="fr-FR" w:eastAsia="fr-FR"/>
    </w:rPr>
  </w:style>
  <w:style w:type="paragraph" w:styleId="Index7">
    <w:name w:val="index 7"/>
    <w:basedOn w:val="Normal"/>
    <w:next w:val="Normal"/>
    <w:autoRedefine/>
    <w:rsid w:val="002022AB"/>
    <w:pPr>
      <w:widowControl w:val="0"/>
      <w:spacing w:line="360" w:lineRule="auto"/>
      <w:ind w:left="1680" w:hanging="240"/>
    </w:pPr>
    <w:rPr>
      <w:noProof w:val="0"/>
      <w:szCs w:val="24"/>
      <w:lang w:val="fr-FR" w:eastAsia="fr-FR"/>
    </w:rPr>
  </w:style>
  <w:style w:type="paragraph" w:styleId="Index8">
    <w:name w:val="index 8"/>
    <w:basedOn w:val="Normal"/>
    <w:next w:val="Normal"/>
    <w:autoRedefine/>
    <w:rsid w:val="002022AB"/>
    <w:pPr>
      <w:widowControl w:val="0"/>
      <w:spacing w:line="360" w:lineRule="auto"/>
      <w:ind w:left="1920" w:hanging="240"/>
    </w:pPr>
    <w:rPr>
      <w:noProof w:val="0"/>
      <w:szCs w:val="24"/>
      <w:lang w:val="fr-FR" w:eastAsia="fr-FR"/>
    </w:rPr>
  </w:style>
  <w:style w:type="paragraph" w:styleId="Index9">
    <w:name w:val="index 9"/>
    <w:basedOn w:val="Normal"/>
    <w:next w:val="Normal"/>
    <w:autoRedefine/>
    <w:rsid w:val="002022AB"/>
    <w:pPr>
      <w:widowControl w:val="0"/>
      <w:spacing w:line="360" w:lineRule="auto"/>
      <w:ind w:left="2160" w:hanging="240"/>
    </w:pPr>
    <w:rPr>
      <w:noProof w:val="0"/>
      <w:szCs w:val="24"/>
      <w:lang w:val="fr-FR" w:eastAsia="fr-FR"/>
    </w:rPr>
  </w:style>
  <w:style w:type="paragraph" w:styleId="IndexHeading">
    <w:name w:val="index heading"/>
    <w:basedOn w:val="Normal"/>
    <w:next w:val="Index1"/>
    <w:rsid w:val="002022AB"/>
    <w:pPr>
      <w:widowControl w:val="0"/>
      <w:spacing w:line="360" w:lineRule="auto"/>
    </w:pPr>
    <w:rPr>
      <w:rFonts w:ascii="Arial" w:hAnsi="Arial" w:cs="Arial"/>
      <w:b/>
      <w:bCs/>
      <w:noProof w:val="0"/>
      <w:szCs w:val="24"/>
      <w:lang w:val="fr-FR" w:eastAsia="fr-FR"/>
    </w:rPr>
  </w:style>
  <w:style w:type="character" w:styleId="LineNumber">
    <w:name w:val="line number"/>
    <w:rsid w:val="002022AB"/>
  </w:style>
  <w:style w:type="paragraph" w:styleId="List">
    <w:name w:val="List"/>
    <w:basedOn w:val="Normal"/>
    <w:rsid w:val="002022AB"/>
    <w:pPr>
      <w:widowControl w:val="0"/>
      <w:spacing w:line="360" w:lineRule="auto"/>
      <w:ind w:left="283" w:hanging="283"/>
    </w:pPr>
    <w:rPr>
      <w:noProof w:val="0"/>
      <w:szCs w:val="24"/>
      <w:lang w:val="fr-FR" w:eastAsia="fr-FR"/>
    </w:rPr>
  </w:style>
  <w:style w:type="paragraph" w:styleId="List2">
    <w:name w:val="List 2"/>
    <w:basedOn w:val="Normal"/>
    <w:rsid w:val="002022AB"/>
    <w:pPr>
      <w:widowControl w:val="0"/>
      <w:spacing w:line="360" w:lineRule="auto"/>
      <w:ind w:left="566" w:hanging="283"/>
    </w:pPr>
    <w:rPr>
      <w:noProof w:val="0"/>
      <w:szCs w:val="24"/>
      <w:lang w:val="fr-FR" w:eastAsia="fr-FR"/>
    </w:rPr>
  </w:style>
  <w:style w:type="paragraph" w:styleId="List3">
    <w:name w:val="List 3"/>
    <w:basedOn w:val="Normal"/>
    <w:rsid w:val="002022AB"/>
    <w:pPr>
      <w:widowControl w:val="0"/>
      <w:spacing w:line="360" w:lineRule="auto"/>
      <w:ind w:left="849" w:hanging="283"/>
    </w:pPr>
    <w:rPr>
      <w:noProof w:val="0"/>
      <w:szCs w:val="24"/>
      <w:lang w:val="fr-FR" w:eastAsia="fr-FR"/>
    </w:rPr>
  </w:style>
  <w:style w:type="paragraph" w:styleId="List4">
    <w:name w:val="List 4"/>
    <w:basedOn w:val="Normal"/>
    <w:rsid w:val="002022AB"/>
    <w:pPr>
      <w:widowControl w:val="0"/>
      <w:spacing w:line="360" w:lineRule="auto"/>
      <w:ind w:left="1132" w:hanging="283"/>
    </w:pPr>
    <w:rPr>
      <w:noProof w:val="0"/>
      <w:szCs w:val="24"/>
      <w:lang w:val="fr-FR" w:eastAsia="fr-FR"/>
    </w:rPr>
  </w:style>
  <w:style w:type="paragraph" w:styleId="List5">
    <w:name w:val="List 5"/>
    <w:basedOn w:val="Normal"/>
    <w:rsid w:val="002022AB"/>
    <w:pPr>
      <w:widowControl w:val="0"/>
      <w:spacing w:line="360" w:lineRule="auto"/>
      <w:ind w:left="1415" w:hanging="283"/>
    </w:pPr>
    <w:rPr>
      <w:noProof w:val="0"/>
      <w:szCs w:val="24"/>
      <w:lang w:val="fr-FR" w:eastAsia="fr-FR"/>
    </w:rPr>
  </w:style>
  <w:style w:type="paragraph" w:styleId="ListBullet">
    <w:name w:val="List Bullet"/>
    <w:basedOn w:val="Normal"/>
    <w:autoRedefine/>
    <w:rsid w:val="002022AB"/>
    <w:pPr>
      <w:widowControl w:val="0"/>
      <w:tabs>
        <w:tab w:val="num" w:pos="360"/>
      </w:tabs>
      <w:spacing w:line="360" w:lineRule="auto"/>
      <w:ind w:left="360" w:hanging="360"/>
    </w:pPr>
    <w:rPr>
      <w:noProof w:val="0"/>
      <w:szCs w:val="24"/>
      <w:lang w:val="fr-FR" w:eastAsia="fr-FR"/>
    </w:rPr>
  </w:style>
  <w:style w:type="paragraph" w:styleId="ListBullet2">
    <w:name w:val="List Bullet 2"/>
    <w:basedOn w:val="Normal"/>
    <w:autoRedefine/>
    <w:rsid w:val="002022AB"/>
    <w:pPr>
      <w:widowControl w:val="0"/>
      <w:tabs>
        <w:tab w:val="num" w:pos="643"/>
      </w:tabs>
      <w:spacing w:line="360" w:lineRule="auto"/>
      <w:ind w:left="643" w:hanging="360"/>
    </w:pPr>
    <w:rPr>
      <w:noProof w:val="0"/>
      <w:szCs w:val="24"/>
      <w:lang w:val="fr-FR" w:eastAsia="fr-FR"/>
    </w:rPr>
  </w:style>
  <w:style w:type="paragraph" w:styleId="ListBullet3">
    <w:name w:val="List Bullet 3"/>
    <w:basedOn w:val="Normal"/>
    <w:autoRedefine/>
    <w:rsid w:val="002022AB"/>
    <w:pPr>
      <w:widowControl w:val="0"/>
      <w:tabs>
        <w:tab w:val="num" w:pos="926"/>
      </w:tabs>
      <w:spacing w:line="360" w:lineRule="auto"/>
      <w:ind w:left="926" w:hanging="360"/>
    </w:pPr>
    <w:rPr>
      <w:noProof w:val="0"/>
      <w:szCs w:val="24"/>
      <w:lang w:val="fr-FR" w:eastAsia="fr-FR"/>
    </w:rPr>
  </w:style>
  <w:style w:type="paragraph" w:styleId="ListBullet4">
    <w:name w:val="List Bullet 4"/>
    <w:basedOn w:val="Normal"/>
    <w:autoRedefine/>
    <w:rsid w:val="002022AB"/>
    <w:pPr>
      <w:widowControl w:val="0"/>
      <w:tabs>
        <w:tab w:val="num" w:pos="1209"/>
      </w:tabs>
      <w:spacing w:line="360" w:lineRule="auto"/>
      <w:ind w:left="1209" w:hanging="360"/>
    </w:pPr>
    <w:rPr>
      <w:noProof w:val="0"/>
      <w:szCs w:val="24"/>
      <w:lang w:val="fr-FR" w:eastAsia="fr-FR"/>
    </w:rPr>
  </w:style>
  <w:style w:type="paragraph" w:styleId="ListBullet5">
    <w:name w:val="List Bullet 5"/>
    <w:basedOn w:val="Normal"/>
    <w:autoRedefine/>
    <w:rsid w:val="002022AB"/>
    <w:pPr>
      <w:widowControl w:val="0"/>
      <w:tabs>
        <w:tab w:val="num" w:pos="1492"/>
      </w:tabs>
      <w:spacing w:line="360" w:lineRule="auto"/>
      <w:ind w:left="1492" w:hanging="360"/>
    </w:pPr>
    <w:rPr>
      <w:noProof w:val="0"/>
      <w:szCs w:val="24"/>
      <w:lang w:val="fr-FR" w:eastAsia="fr-FR"/>
    </w:rPr>
  </w:style>
  <w:style w:type="paragraph" w:styleId="ListContinue">
    <w:name w:val="List Continue"/>
    <w:basedOn w:val="Normal"/>
    <w:rsid w:val="002022AB"/>
    <w:pPr>
      <w:widowControl w:val="0"/>
      <w:spacing w:after="120" w:line="360" w:lineRule="auto"/>
      <w:ind w:left="283"/>
    </w:pPr>
    <w:rPr>
      <w:noProof w:val="0"/>
      <w:szCs w:val="24"/>
      <w:lang w:val="fr-FR" w:eastAsia="fr-FR"/>
    </w:rPr>
  </w:style>
  <w:style w:type="paragraph" w:styleId="ListContinue2">
    <w:name w:val="List Continue 2"/>
    <w:basedOn w:val="Normal"/>
    <w:rsid w:val="002022AB"/>
    <w:pPr>
      <w:widowControl w:val="0"/>
      <w:spacing w:after="120" w:line="360" w:lineRule="auto"/>
      <w:ind w:left="566"/>
    </w:pPr>
    <w:rPr>
      <w:noProof w:val="0"/>
      <w:szCs w:val="24"/>
      <w:lang w:val="fr-FR" w:eastAsia="fr-FR"/>
    </w:rPr>
  </w:style>
  <w:style w:type="paragraph" w:styleId="ListContinue3">
    <w:name w:val="List Continue 3"/>
    <w:basedOn w:val="Normal"/>
    <w:rsid w:val="002022AB"/>
    <w:pPr>
      <w:widowControl w:val="0"/>
      <w:spacing w:after="120" w:line="360" w:lineRule="auto"/>
      <w:ind w:left="849"/>
    </w:pPr>
    <w:rPr>
      <w:noProof w:val="0"/>
      <w:szCs w:val="24"/>
      <w:lang w:val="fr-FR" w:eastAsia="fr-FR"/>
    </w:rPr>
  </w:style>
  <w:style w:type="paragraph" w:styleId="ListContinue4">
    <w:name w:val="List Continue 4"/>
    <w:basedOn w:val="Normal"/>
    <w:rsid w:val="002022AB"/>
    <w:pPr>
      <w:widowControl w:val="0"/>
      <w:spacing w:after="120" w:line="360" w:lineRule="auto"/>
      <w:ind w:left="1132"/>
    </w:pPr>
    <w:rPr>
      <w:noProof w:val="0"/>
      <w:szCs w:val="24"/>
      <w:lang w:val="fr-FR" w:eastAsia="fr-FR"/>
    </w:rPr>
  </w:style>
  <w:style w:type="paragraph" w:styleId="ListContinue5">
    <w:name w:val="List Continue 5"/>
    <w:basedOn w:val="Normal"/>
    <w:rsid w:val="002022AB"/>
    <w:pPr>
      <w:widowControl w:val="0"/>
      <w:spacing w:after="120" w:line="360" w:lineRule="auto"/>
      <w:ind w:left="1415"/>
    </w:pPr>
    <w:rPr>
      <w:noProof w:val="0"/>
      <w:szCs w:val="24"/>
      <w:lang w:val="fr-FR" w:eastAsia="fr-FR"/>
    </w:rPr>
  </w:style>
  <w:style w:type="paragraph" w:styleId="ListNumber2">
    <w:name w:val="List Number 2"/>
    <w:basedOn w:val="Normal"/>
    <w:rsid w:val="002022AB"/>
    <w:pPr>
      <w:widowControl w:val="0"/>
      <w:tabs>
        <w:tab w:val="num" w:pos="643"/>
      </w:tabs>
      <w:spacing w:line="360" w:lineRule="auto"/>
      <w:ind w:left="643" w:hanging="360"/>
    </w:pPr>
    <w:rPr>
      <w:noProof w:val="0"/>
      <w:szCs w:val="24"/>
      <w:lang w:val="fr-FR" w:eastAsia="fr-FR"/>
    </w:rPr>
  </w:style>
  <w:style w:type="paragraph" w:styleId="ListNumber5">
    <w:name w:val="List Number 5"/>
    <w:basedOn w:val="Normal"/>
    <w:rsid w:val="002022AB"/>
    <w:pPr>
      <w:widowControl w:val="0"/>
      <w:tabs>
        <w:tab w:val="num" w:pos="1492"/>
      </w:tabs>
      <w:spacing w:line="360" w:lineRule="auto"/>
      <w:ind w:left="1492" w:hanging="360"/>
    </w:pPr>
    <w:rPr>
      <w:noProof w:val="0"/>
      <w:szCs w:val="24"/>
      <w:lang w:val="fr-FR" w:eastAsia="fr-FR"/>
    </w:rPr>
  </w:style>
  <w:style w:type="paragraph" w:styleId="MacroText">
    <w:name w:val="macro"/>
    <w:link w:val="MacroTextChar"/>
    <w:rsid w:val="002022AB"/>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lang w:val="fr-FR" w:eastAsia="fr-FR"/>
    </w:rPr>
  </w:style>
  <w:style w:type="character" w:customStyle="1" w:styleId="MacroTextChar">
    <w:name w:val="Macro Text Char"/>
    <w:link w:val="MacroText"/>
    <w:rsid w:val="002022AB"/>
    <w:rPr>
      <w:rFonts w:ascii="Courier New" w:hAnsi="Courier New" w:cs="Courier New"/>
    </w:rPr>
  </w:style>
  <w:style w:type="paragraph" w:styleId="MessageHeader">
    <w:name w:val="Message Header"/>
    <w:basedOn w:val="Normal"/>
    <w:link w:val="MessageHeaderChar"/>
    <w:rsid w:val="002022AB"/>
    <w:pPr>
      <w:widowControl w:val="0"/>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rFonts w:ascii="Arial" w:hAnsi="Arial" w:cs="Arial"/>
      <w:noProof w:val="0"/>
      <w:szCs w:val="24"/>
      <w:lang w:val="fr-FR" w:eastAsia="fr-FR"/>
    </w:rPr>
  </w:style>
  <w:style w:type="character" w:customStyle="1" w:styleId="MessageHeaderChar">
    <w:name w:val="Message Header Char"/>
    <w:link w:val="MessageHeader"/>
    <w:rsid w:val="002022AB"/>
    <w:rPr>
      <w:rFonts w:ascii="Arial" w:hAnsi="Arial" w:cs="Arial"/>
      <w:sz w:val="24"/>
      <w:szCs w:val="24"/>
      <w:shd w:val="pct20" w:color="auto" w:fill="auto"/>
    </w:rPr>
  </w:style>
  <w:style w:type="paragraph" w:styleId="NormalIndent">
    <w:name w:val="Normal Indent"/>
    <w:basedOn w:val="Normal"/>
    <w:rsid w:val="002022AB"/>
    <w:pPr>
      <w:widowControl w:val="0"/>
      <w:spacing w:line="360" w:lineRule="auto"/>
      <w:ind w:left="708"/>
    </w:pPr>
    <w:rPr>
      <w:noProof w:val="0"/>
      <w:szCs w:val="24"/>
      <w:lang w:val="fr-FR" w:eastAsia="fr-FR"/>
    </w:rPr>
  </w:style>
  <w:style w:type="paragraph" w:styleId="NoteHeading">
    <w:name w:val="Note Heading"/>
    <w:basedOn w:val="Normal"/>
    <w:next w:val="Normal"/>
    <w:link w:val="NoteHeadingChar"/>
    <w:rsid w:val="002022AB"/>
    <w:pPr>
      <w:widowControl w:val="0"/>
      <w:spacing w:line="360" w:lineRule="auto"/>
    </w:pPr>
    <w:rPr>
      <w:noProof w:val="0"/>
      <w:szCs w:val="24"/>
      <w:lang w:val="fr-FR" w:eastAsia="fr-FR"/>
    </w:rPr>
  </w:style>
  <w:style w:type="character" w:customStyle="1" w:styleId="NoteHeadingChar">
    <w:name w:val="Note Heading Char"/>
    <w:link w:val="NoteHeading"/>
    <w:rsid w:val="002022AB"/>
    <w:rPr>
      <w:sz w:val="24"/>
      <w:szCs w:val="24"/>
    </w:rPr>
  </w:style>
  <w:style w:type="paragraph" w:styleId="PlainText">
    <w:name w:val="Plain Text"/>
    <w:basedOn w:val="Normal"/>
    <w:link w:val="PlainTextChar"/>
    <w:rsid w:val="002022AB"/>
    <w:pPr>
      <w:widowControl w:val="0"/>
      <w:spacing w:line="360" w:lineRule="auto"/>
    </w:pPr>
    <w:rPr>
      <w:rFonts w:ascii="Courier New" w:hAnsi="Courier New" w:cs="Courier New"/>
      <w:noProof w:val="0"/>
      <w:sz w:val="20"/>
      <w:lang w:val="fr-FR" w:eastAsia="fr-FR"/>
    </w:rPr>
  </w:style>
  <w:style w:type="character" w:customStyle="1" w:styleId="PlainTextChar">
    <w:name w:val="Plain Text Char"/>
    <w:link w:val="PlainText"/>
    <w:rsid w:val="002022AB"/>
    <w:rPr>
      <w:rFonts w:ascii="Courier New" w:hAnsi="Courier New" w:cs="Courier New"/>
    </w:rPr>
  </w:style>
  <w:style w:type="paragraph" w:styleId="Salutation">
    <w:name w:val="Salutation"/>
    <w:basedOn w:val="Normal"/>
    <w:next w:val="Normal"/>
    <w:link w:val="SalutationChar"/>
    <w:rsid w:val="002022AB"/>
    <w:pPr>
      <w:widowControl w:val="0"/>
      <w:spacing w:line="360" w:lineRule="auto"/>
    </w:pPr>
    <w:rPr>
      <w:noProof w:val="0"/>
      <w:szCs w:val="24"/>
      <w:lang w:val="fr-FR" w:eastAsia="fr-FR"/>
    </w:rPr>
  </w:style>
  <w:style w:type="character" w:customStyle="1" w:styleId="SalutationChar">
    <w:name w:val="Salutation Char"/>
    <w:link w:val="Salutation"/>
    <w:rsid w:val="002022AB"/>
    <w:rPr>
      <w:sz w:val="24"/>
      <w:szCs w:val="24"/>
    </w:rPr>
  </w:style>
  <w:style w:type="paragraph" w:styleId="Signature">
    <w:name w:val="Signature"/>
    <w:basedOn w:val="Normal"/>
    <w:link w:val="SignatureChar"/>
    <w:rsid w:val="002022AB"/>
    <w:pPr>
      <w:widowControl w:val="0"/>
      <w:spacing w:line="360" w:lineRule="auto"/>
      <w:ind w:left="4252"/>
    </w:pPr>
    <w:rPr>
      <w:noProof w:val="0"/>
      <w:szCs w:val="24"/>
      <w:lang w:val="fr-FR" w:eastAsia="fr-FR"/>
    </w:rPr>
  </w:style>
  <w:style w:type="character" w:customStyle="1" w:styleId="SignatureChar">
    <w:name w:val="Signature Char"/>
    <w:link w:val="Signature"/>
    <w:rsid w:val="002022AB"/>
    <w:rPr>
      <w:sz w:val="24"/>
      <w:szCs w:val="24"/>
    </w:rPr>
  </w:style>
  <w:style w:type="character" w:styleId="Strong">
    <w:name w:val="Strong"/>
    <w:qFormat/>
    <w:rsid w:val="002022AB"/>
    <w:rPr>
      <w:b/>
      <w:bCs/>
      <w:lang w:val="fr-FR" w:eastAsia="fr-FR"/>
    </w:rPr>
  </w:style>
  <w:style w:type="paragraph" w:styleId="Subtitle">
    <w:name w:val="Subtitle"/>
    <w:basedOn w:val="Normal"/>
    <w:link w:val="SubtitleChar"/>
    <w:qFormat/>
    <w:rsid w:val="002022AB"/>
    <w:pPr>
      <w:widowControl w:val="0"/>
      <w:spacing w:after="60" w:line="360" w:lineRule="auto"/>
      <w:jc w:val="center"/>
      <w:outlineLvl w:val="1"/>
    </w:pPr>
    <w:rPr>
      <w:rFonts w:ascii="Arial" w:hAnsi="Arial" w:cs="Arial"/>
      <w:noProof w:val="0"/>
      <w:szCs w:val="24"/>
      <w:lang w:val="fr-FR" w:eastAsia="fr-FR"/>
    </w:rPr>
  </w:style>
  <w:style w:type="character" w:customStyle="1" w:styleId="SubtitleChar">
    <w:name w:val="Subtitle Char"/>
    <w:link w:val="Subtitle"/>
    <w:rsid w:val="002022AB"/>
    <w:rPr>
      <w:rFonts w:ascii="Arial" w:hAnsi="Arial" w:cs="Arial"/>
      <w:sz w:val="24"/>
      <w:szCs w:val="24"/>
    </w:rPr>
  </w:style>
  <w:style w:type="table" w:styleId="Table3Deffects1">
    <w:name w:val="Table 3D effects 1"/>
    <w:basedOn w:val="TableNormal"/>
    <w:rsid w:val="002022AB"/>
    <w:pPr>
      <w:widowControl w:val="0"/>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22AB"/>
    <w:pPr>
      <w:widowControl w:val="0"/>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22AB"/>
    <w:pPr>
      <w:widowControl w:val="0"/>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22AB"/>
    <w:pPr>
      <w:widowControl w:val="0"/>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22AB"/>
    <w:pPr>
      <w:widowControl w:val="0"/>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22AB"/>
    <w:pPr>
      <w:widowControl w:val="0"/>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22AB"/>
    <w:pPr>
      <w:widowControl w:val="0"/>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22AB"/>
    <w:pPr>
      <w:widowControl w:val="0"/>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22AB"/>
    <w:pPr>
      <w:widowControl w:val="0"/>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22AB"/>
    <w:pPr>
      <w:widowControl w:val="0"/>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22AB"/>
    <w:pPr>
      <w:widowControl w:val="0"/>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22AB"/>
    <w:pPr>
      <w:widowControl w:val="0"/>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22AB"/>
    <w:pPr>
      <w:widowControl w:val="0"/>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22AB"/>
    <w:pPr>
      <w:widowControl w:val="0"/>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22AB"/>
    <w:pPr>
      <w:widowControl w:val="0"/>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22AB"/>
    <w:pPr>
      <w:widowControl w:val="0"/>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22AB"/>
    <w:pPr>
      <w:widowControl w:val="0"/>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022AB"/>
    <w:pPr>
      <w:widowControl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2022AB"/>
    <w:pPr>
      <w:widowControl w:val="0"/>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22AB"/>
    <w:pPr>
      <w:widowControl w:val="0"/>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22AB"/>
    <w:pPr>
      <w:widowControl w:val="0"/>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22AB"/>
    <w:pPr>
      <w:widowControl w:val="0"/>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22AB"/>
    <w:pPr>
      <w:widowControl w:val="0"/>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22AB"/>
    <w:pPr>
      <w:widowControl w:val="0"/>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22AB"/>
    <w:pPr>
      <w:widowControl w:val="0"/>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22AB"/>
    <w:pPr>
      <w:widowControl w:val="0"/>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22AB"/>
    <w:pPr>
      <w:widowControl w:val="0"/>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22AB"/>
    <w:pPr>
      <w:widowControl w:val="0"/>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22AB"/>
    <w:pPr>
      <w:widowControl w:val="0"/>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22AB"/>
    <w:pPr>
      <w:widowControl w:val="0"/>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22AB"/>
    <w:pPr>
      <w:widowControl w:val="0"/>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2022AB"/>
    <w:pPr>
      <w:widowControl w:val="0"/>
      <w:spacing w:line="360" w:lineRule="auto"/>
      <w:ind w:left="240" w:hanging="240"/>
    </w:pPr>
    <w:rPr>
      <w:noProof w:val="0"/>
      <w:szCs w:val="24"/>
      <w:lang w:val="fr-FR" w:eastAsia="fr-FR"/>
    </w:rPr>
  </w:style>
  <w:style w:type="paragraph" w:styleId="TableofFigures">
    <w:name w:val="table of figures"/>
    <w:basedOn w:val="Normal"/>
    <w:next w:val="Normal"/>
    <w:rsid w:val="002022AB"/>
    <w:pPr>
      <w:widowControl w:val="0"/>
      <w:spacing w:line="360" w:lineRule="auto"/>
      <w:ind w:left="480" w:hanging="480"/>
    </w:pPr>
    <w:rPr>
      <w:noProof w:val="0"/>
      <w:szCs w:val="24"/>
      <w:lang w:val="fr-FR" w:eastAsia="fr-FR"/>
    </w:rPr>
  </w:style>
  <w:style w:type="table" w:styleId="TableProfessional">
    <w:name w:val="Table Professional"/>
    <w:basedOn w:val="TableNormal"/>
    <w:rsid w:val="002022AB"/>
    <w:pPr>
      <w:widowControl w:val="0"/>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22AB"/>
    <w:pPr>
      <w:widowControl w:val="0"/>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22AB"/>
    <w:pPr>
      <w:widowControl w:val="0"/>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22AB"/>
    <w:pPr>
      <w:widowControl w:val="0"/>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22AB"/>
    <w:pPr>
      <w:widowControl w:val="0"/>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22AB"/>
    <w:pPr>
      <w:widowControl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022AB"/>
    <w:pPr>
      <w:widowControl w:val="0"/>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22AB"/>
    <w:pPr>
      <w:widowControl w:val="0"/>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22AB"/>
    <w:pPr>
      <w:widowControl w:val="0"/>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2022AB"/>
    <w:pPr>
      <w:widowControl w:val="0"/>
      <w:spacing w:before="120" w:line="360" w:lineRule="auto"/>
    </w:pPr>
    <w:rPr>
      <w:rFonts w:ascii="Arial" w:hAnsi="Arial" w:cs="Arial"/>
      <w:b/>
      <w:bCs/>
      <w:noProof w:val="0"/>
      <w:szCs w:val="24"/>
      <w:lang w:val="fr-FR" w:eastAsia="fr-FR"/>
    </w:rPr>
  </w:style>
  <w:style w:type="paragraph" w:customStyle="1" w:styleId="Text1">
    <w:name w:val="Text 1"/>
    <w:basedOn w:val="Normal"/>
    <w:rsid w:val="002022AB"/>
    <w:pPr>
      <w:spacing w:before="120" w:after="120"/>
      <w:ind w:left="850"/>
      <w:jc w:val="both"/>
    </w:pPr>
    <w:rPr>
      <w:noProof w:val="0"/>
      <w:szCs w:val="24"/>
      <w:lang w:val="fr-FR" w:eastAsia="fr-FR" w:bidi="fr-FR"/>
    </w:rPr>
  </w:style>
  <w:style w:type="paragraph" w:customStyle="1" w:styleId="Point1">
    <w:name w:val="Point 1"/>
    <w:basedOn w:val="Normal"/>
    <w:rsid w:val="002022AB"/>
    <w:pPr>
      <w:spacing w:before="120" w:after="120"/>
      <w:ind w:left="1417" w:hanging="567"/>
      <w:jc w:val="both"/>
    </w:pPr>
    <w:rPr>
      <w:noProof w:val="0"/>
      <w:szCs w:val="24"/>
      <w:lang w:val="fr-FR" w:eastAsia="fr-FR" w:bidi="fr-FR"/>
    </w:rPr>
  </w:style>
  <w:style w:type="paragraph" w:customStyle="1" w:styleId="Dash4">
    <w:name w:val="Dash 4"/>
    <w:basedOn w:val="Normal"/>
    <w:rsid w:val="002022AB"/>
    <w:pPr>
      <w:numPr>
        <w:numId w:val="31"/>
      </w:numPr>
      <w:tabs>
        <w:tab w:val="num" w:pos="2835"/>
      </w:tabs>
      <w:spacing w:before="120" w:after="120" w:line="360" w:lineRule="auto"/>
      <w:ind w:left="2835"/>
      <w:outlineLvl w:val="3"/>
    </w:pPr>
    <w:rPr>
      <w:noProof w:val="0"/>
      <w:szCs w:val="24"/>
      <w:lang w:val="fr-FR" w:eastAsia="fr-FR" w:bidi="fr-FR"/>
    </w:rPr>
  </w:style>
  <w:style w:type="character" w:customStyle="1" w:styleId="DeltaViewDeletion">
    <w:name w:val="DeltaView Deletion"/>
    <w:uiPriority w:val="99"/>
    <w:rsid w:val="002022AB"/>
    <w:rPr>
      <w:strike/>
      <w:color w:val="000000"/>
    </w:rPr>
  </w:style>
  <w:style w:type="paragraph" w:customStyle="1" w:styleId="CM1">
    <w:name w:val="CM1"/>
    <w:basedOn w:val="Default"/>
    <w:next w:val="Default"/>
    <w:uiPriority w:val="99"/>
    <w:rsid w:val="002022AB"/>
    <w:rPr>
      <w:rFonts w:ascii="EUAlbertina" w:hAnsi="EUAlbertina" w:cs="Times New Roman"/>
      <w:color w:val="auto"/>
      <w:lang w:val="en-GB" w:eastAsia="en-GB"/>
    </w:rPr>
  </w:style>
  <w:style w:type="paragraph" w:customStyle="1" w:styleId="CM3">
    <w:name w:val="CM3"/>
    <w:basedOn w:val="Default"/>
    <w:next w:val="Default"/>
    <w:uiPriority w:val="99"/>
    <w:rsid w:val="002022AB"/>
    <w:rPr>
      <w:rFonts w:ascii="EUAlbertina" w:hAnsi="EUAlbertina" w:cs="Times New Roman"/>
      <w:color w:val="auto"/>
      <w:lang w:val="en-GB" w:eastAsia="en-GB"/>
    </w:rPr>
  </w:style>
  <w:style w:type="paragraph" w:styleId="Revision">
    <w:name w:val="Revision"/>
    <w:hidden/>
    <w:uiPriority w:val="99"/>
    <w:semiHidden/>
    <w:rsid w:val="002022AB"/>
    <w:rPr>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65B"/>
    <w:rPr>
      <w:noProof/>
      <w:sz w:val="24"/>
      <w:lang w:eastAsia="en-GB"/>
    </w:rPr>
  </w:style>
  <w:style w:type="paragraph" w:styleId="Heading1">
    <w:name w:val="heading 1"/>
    <w:basedOn w:val="Normal"/>
    <w:next w:val="Normal"/>
    <w:link w:val="Heading1Char"/>
    <w:qFormat/>
    <w:pPr>
      <w:keepNext/>
      <w:keepLines/>
      <w:spacing w:after="120"/>
      <w:ind w:left="510" w:hanging="510"/>
      <w:outlineLvl w:val="0"/>
    </w:pPr>
    <w:rPr>
      <w:b/>
      <w:kern w:val="28"/>
      <w:sz w:val="28"/>
    </w:rPr>
  </w:style>
  <w:style w:type="paragraph" w:styleId="Heading2">
    <w:name w:val="heading 2"/>
    <w:basedOn w:val="Normal"/>
    <w:next w:val="Normal"/>
    <w:link w:val="Heading2Char"/>
    <w:qFormat/>
    <w:pPr>
      <w:keepNext/>
      <w:jc w:val="center"/>
      <w:outlineLvl w:val="1"/>
    </w:pPr>
    <w:rPr>
      <w:b/>
      <w:noProof w:val="0"/>
      <w:sz w:val="28"/>
      <w:lang w:val="de-DE"/>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qFormat/>
    <w:pPr>
      <w:keepNext/>
      <w:tabs>
        <w:tab w:val="center" w:pos="5387"/>
      </w:tabs>
      <w:jc w:val="center"/>
      <w:outlineLvl w:val="3"/>
    </w:pPr>
    <w:rPr>
      <w:noProof w:val="0"/>
      <w:sz w:val="60"/>
      <w:lang w:val="fr-FR"/>
    </w:rPr>
  </w:style>
  <w:style w:type="paragraph" w:styleId="Heading5">
    <w:name w:val="heading 5"/>
    <w:basedOn w:val="Normal"/>
    <w:next w:val="Normal"/>
    <w:link w:val="Heading5Char"/>
    <w:qFormat/>
    <w:rsid w:val="002022AB"/>
    <w:pPr>
      <w:numPr>
        <w:ilvl w:val="4"/>
        <w:numId w:val="20"/>
      </w:numPr>
      <w:spacing w:before="240" w:after="60"/>
      <w:outlineLvl w:val="4"/>
    </w:pPr>
    <w:rPr>
      <w:noProof w:val="0"/>
      <w:lang w:val="en-US"/>
    </w:rPr>
  </w:style>
  <w:style w:type="paragraph" w:styleId="Heading6">
    <w:name w:val="heading 6"/>
    <w:basedOn w:val="Normal"/>
    <w:next w:val="Normal"/>
    <w:link w:val="Heading6Char"/>
    <w:qFormat/>
    <w:rsid w:val="002022AB"/>
    <w:pPr>
      <w:spacing w:before="240" w:after="60"/>
      <w:jc w:val="both"/>
      <w:outlineLvl w:val="5"/>
    </w:pPr>
    <w:rPr>
      <w:rFonts w:ascii="Arial" w:hAnsi="Arial" w:cs="Arial"/>
      <w:i/>
      <w:iCs/>
      <w:noProof w:val="0"/>
      <w:sz w:val="22"/>
      <w:szCs w:val="22"/>
      <w:lang w:val="fr-FR" w:eastAsia="fr-FR"/>
    </w:rPr>
  </w:style>
  <w:style w:type="paragraph" w:styleId="Heading7">
    <w:name w:val="heading 7"/>
    <w:basedOn w:val="Normal"/>
    <w:next w:val="Normal"/>
    <w:link w:val="Heading7Char"/>
    <w:qFormat/>
    <w:rsid w:val="002022AB"/>
    <w:pPr>
      <w:widowControl w:val="0"/>
      <w:spacing w:before="240" w:after="60"/>
      <w:outlineLvl w:val="6"/>
    </w:pPr>
    <w:rPr>
      <w:rFonts w:ascii="Arial" w:hAnsi="Arial"/>
      <w:noProof w:val="0"/>
      <w:lang w:val="fr-FR"/>
    </w:rPr>
  </w:style>
  <w:style w:type="paragraph" w:styleId="Heading8">
    <w:name w:val="heading 8"/>
    <w:basedOn w:val="Normal"/>
    <w:next w:val="Normal"/>
    <w:link w:val="Heading8Char"/>
    <w:qFormat/>
    <w:rsid w:val="002022AB"/>
    <w:pPr>
      <w:widowControl w:val="0"/>
      <w:spacing w:before="240" w:after="60"/>
      <w:outlineLvl w:val="7"/>
    </w:pPr>
    <w:rPr>
      <w:rFonts w:ascii="Arial" w:hAnsi="Arial"/>
      <w:i/>
      <w:noProof w:val="0"/>
      <w:lang w:val="fr-FR"/>
    </w:rPr>
  </w:style>
  <w:style w:type="paragraph" w:styleId="Heading9">
    <w:name w:val="heading 9"/>
    <w:basedOn w:val="Normal"/>
    <w:next w:val="Normal"/>
    <w:link w:val="Heading9Char"/>
    <w:qFormat/>
    <w:rsid w:val="002022AB"/>
    <w:pPr>
      <w:widowControl w:val="0"/>
      <w:spacing w:before="240" w:after="60"/>
      <w:outlineLvl w:val="8"/>
    </w:pPr>
    <w:rPr>
      <w:rFonts w:ascii="Arial" w:hAnsi="Arial"/>
      <w:b/>
      <w:i/>
      <w:noProof w:val="0"/>
      <w:sz w:val="1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aliases w:val="Footer Char1,Footer Char11,Heading 9 Char3,16 Point,Superscript 6 Point,Footnote Reference Number,Footnote Reference_LVL6,Footnote Reference_LVL61,Footnote Reference_LVL62,Footnote Reference_LVL63,Footnote Reference_LVL64,Footnote cal"/>
    <w:rPr>
      <w:vertAlign w:val="superscript"/>
    </w:rPr>
  </w:style>
  <w:style w:type="paragraph" w:customStyle="1" w:styleId="ATHeading1">
    <w:name w:val="AT Heading 1"/>
    <w:basedOn w:val="Normal"/>
    <w:next w:val="Normal"/>
    <w:pPr>
      <w:keepNext/>
      <w:keepLines/>
      <w:spacing w:after="120"/>
      <w:outlineLvl w:val="0"/>
    </w:pPr>
    <w:rPr>
      <w:b/>
      <w:sz w:val="28"/>
    </w:rPr>
  </w:style>
  <w:style w:type="paragraph" w:customStyle="1" w:styleId="ATHeading2">
    <w:name w:val="AT Heading 2"/>
    <w:basedOn w:val="Normal"/>
    <w:next w:val="Normal"/>
    <w:pPr>
      <w:spacing w:before="120" w:after="120"/>
      <w:outlineLvl w:val="1"/>
    </w:pPr>
    <w:rPr>
      <w:b/>
      <w:sz w:val="28"/>
    </w:rPr>
  </w:style>
  <w:style w:type="paragraph" w:customStyle="1" w:styleId="ATHeading3">
    <w:name w:val="AT Heading 3"/>
    <w:basedOn w:val="Normal"/>
    <w:next w:val="Normal"/>
    <w:pPr>
      <w:keepNext/>
      <w:keepLines/>
      <w:spacing w:before="120" w:after="120"/>
      <w:outlineLvl w:val="2"/>
    </w:pPr>
    <w:rPr>
      <w:b/>
    </w:rPr>
  </w:style>
  <w:style w:type="paragraph" w:customStyle="1" w:styleId="ATHeading4">
    <w:name w:val="AT Heading 4"/>
    <w:basedOn w:val="Normal"/>
    <w:next w:val="Normal"/>
    <w:pPr>
      <w:keepNext/>
      <w:keepLines/>
      <w:spacing w:before="120" w:after="120"/>
    </w:pPr>
    <w:rPr>
      <w:b/>
      <w:i/>
    </w:rPr>
  </w:style>
  <w:style w:type="paragraph" w:customStyle="1" w:styleId="ATHeading5">
    <w:name w:val="AT Heading 5"/>
    <w:basedOn w:val="Normal"/>
    <w:next w:val="Normal"/>
    <w:pPr>
      <w:keepNext/>
      <w:keepLines/>
      <w:spacing w:before="120" w:after="120"/>
    </w:pPr>
    <w:rPr>
      <w:i/>
    </w:rPr>
  </w:style>
  <w:style w:type="paragraph" w:styleId="Footer">
    <w:name w:val="footer"/>
    <w:basedOn w:val="Normal"/>
    <w:link w:val="FooterChar"/>
    <w:pPr>
      <w:pBdr>
        <w:top w:val="single" w:sz="4" w:space="1" w:color="auto"/>
      </w:pBdr>
      <w:tabs>
        <w:tab w:val="right" w:pos="9214"/>
      </w:tabs>
    </w:pPr>
    <w:rPr>
      <w:sz w:val="20"/>
    </w:rPr>
  </w:style>
  <w:style w:type="paragraph" w:styleId="Header">
    <w:name w:val="header"/>
    <w:basedOn w:val="Normal"/>
    <w:link w:val="HeaderChar"/>
    <w:rPr>
      <w:b/>
    </w:rPr>
  </w:style>
  <w:style w:type="paragraph" w:styleId="FootnoteText">
    <w:name w:val="footnote text"/>
    <w:basedOn w:val="Normal"/>
    <w:link w:val="FootnoteTextChar"/>
    <w:pPr>
      <w:keepLines/>
      <w:spacing w:line="260" w:lineRule="exact"/>
      <w:ind w:left="510" w:hanging="510"/>
    </w:pPr>
    <w:rPr>
      <w:sz w:val="22"/>
    </w:rPr>
  </w:style>
  <w:style w:type="paragraph" w:styleId="TOC1">
    <w:name w:val="toc 1"/>
    <w:basedOn w:val="Normal"/>
    <w:next w:val="Normal"/>
    <w:autoRedefine/>
    <w:uiPriority w:val="39"/>
    <w:pPr>
      <w:keepNext/>
      <w:keepLines/>
      <w:spacing w:before="200"/>
    </w:pPr>
    <w:rPr>
      <w:b/>
    </w:rPr>
  </w:style>
  <w:style w:type="paragraph" w:styleId="TOC2">
    <w:name w:val="toc 2"/>
    <w:basedOn w:val="Normal"/>
    <w:next w:val="Normal"/>
    <w:autoRedefine/>
    <w:uiPriority w:val="39"/>
    <w:pPr>
      <w:keepNext/>
      <w:keepLines/>
    </w:pPr>
    <w:rPr>
      <w:b/>
    </w:rPr>
  </w:style>
  <w:style w:type="paragraph" w:styleId="TOC3">
    <w:name w:val="toc 3"/>
    <w:basedOn w:val="Normal"/>
    <w:next w:val="Normal"/>
    <w:autoRedefine/>
    <w:uiPriority w:val="39"/>
    <w:rsid w:val="00B3365B"/>
    <w:pPr>
      <w:keepLines/>
    </w:pPr>
  </w:style>
  <w:style w:type="paragraph" w:customStyle="1" w:styleId="ATHeadingMotiv">
    <w:name w:val="AT Heading Motiv"/>
    <w:basedOn w:val="Normal"/>
    <w:next w:val="Normal"/>
    <w:pPr>
      <w:keepNext/>
      <w:spacing w:before="60" w:after="60"/>
      <w:jc w:val="center"/>
    </w:pPr>
    <w:rPr>
      <w:i/>
    </w:rPr>
  </w:style>
  <w:style w:type="character" w:styleId="PageNumber">
    <w:name w:val="page number"/>
    <w:basedOn w:val="DefaultParagraphFont"/>
  </w:style>
  <w:style w:type="paragraph" w:customStyle="1" w:styleId="ATTOCTitle">
    <w:name w:val="AT TOC Title"/>
    <w:basedOn w:val="Normal"/>
    <w:pPr>
      <w:keepNext/>
      <w:keepLines/>
      <w:spacing w:after="240"/>
      <w:jc w:val="center"/>
    </w:pPr>
    <w:rPr>
      <w:b/>
      <w:caps/>
      <w:sz w:val="28"/>
    </w:rPr>
  </w:style>
  <w:style w:type="paragraph" w:styleId="BalloonText">
    <w:name w:val="Balloon Text"/>
    <w:basedOn w:val="Normal"/>
    <w:link w:val="BalloonTextChar"/>
    <w:rsid w:val="00B3365B"/>
    <w:rPr>
      <w:rFonts w:ascii="Tahoma" w:hAnsi="Tahoma" w:cs="Tahoma"/>
      <w:sz w:val="16"/>
      <w:szCs w:val="16"/>
    </w:rPr>
  </w:style>
  <w:style w:type="character" w:customStyle="1" w:styleId="BalloonTextChar">
    <w:name w:val="Balloon Text Char"/>
    <w:link w:val="BalloonText"/>
    <w:rsid w:val="00B3365B"/>
    <w:rPr>
      <w:rFonts w:ascii="Tahoma" w:hAnsi="Tahoma" w:cs="Tahoma"/>
      <w:noProof/>
      <w:sz w:val="16"/>
      <w:szCs w:val="16"/>
    </w:rPr>
  </w:style>
  <w:style w:type="paragraph" w:styleId="TOC4">
    <w:name w:val="toc 4"/>
    <w:basedOn w:val="Normal"/>
    <w:next w:val="Normal"/>
    <w:autoRedefine/>
    <w:uiPriority w:val="39"/>
    <w:rsid w:val="00B3365B"/>
    <w:pPr>
      <w:ind w:right="567"/>
    </w:pPr>
  </w:style>
  <w:style w:type="paragraph" w:customStyle="1" w:styleId="Normal12">
    <w:name w:val="Normal12"/>
    <w:basedOn w:val="Normal"/>
    <w:link w:val="CommentTextChar5"/>
    <w:rsid w:val="002022AB"/>
    <w:pPr>
      <w:widowControl w:val="0"/>
      <w:spacing w:after="240"/>
    </w:pPr>
    <w:rPr>
      <w:noProof w:val="0"/>
      <w:lang w:val="fr-FR"/>
    </w:rPr>
  </w:style>
  <w:style w:type="paragraph" w:customStyle="1" w:styleId="Normal12Bold">
    <w:name w:val="Normal12Bold"/>
    <w:basedOn w:val="Normal12"/>
    <w:rsid w:val="002022AB"/>
    <w:rPr>
      <w:b/>
    </w:rPr>
  </w:style>
  <w:style w:type="paragraph" w:customStyle="1" w:styleId="Normal12Hanging">
    <w:name w:val="Normal12Hanging"/>
    <w:basedOn w:val="Normal12"/>
    <w:rsid w:val="002022AB"/>
    <w:pPr>
      <w:ind w:left="567" w:hanging="567"/>
    </w:pPr>
  </w:style>
  <w:style w:type="character" w:customStyle="1" w:styleId="FootnoteTextChar">
    <w:name w:val="Footnote Text Char"/>
    <w:link w:val="FootnoteText"/>
    <w:rsid w:val="002022AB"/>
    <w:rPr>
      <w:noProof/>
      <w:sz w:val="22"/>
      <w:lang w:val="en-GB" w:eastAsia="en-GB"/>
    </w:rPr>
  </w:style>
  <w:style w:type="character" w:customStyle="1" w:styleId="CommentTextChar5">
    <w:name w:val="Comment Text Char5"/>
    <w:link w:val="Normal12"/>
    <w:locked/>
    <w:rsid w:val="002022AB"/>
    <w:rPr>
      <w:sz w:val="24"/>
      <w:lang w:eastAsia="en-GB"/>
    </w:rPr>
  </w:style>
  <w:style w:type="paragraph" w:customStyle="1" w:styleId="FooterCouncil">
    <w:name w:val="Footer Council"/>
    <w:basedOn w:val="Normal"/>
    <w:rsid w:val="002022AB"/>
    <w:rPr>
      <w:noProof w:val="0"/>
      <w:sz w:val="2"/>
      <w:szCs w:val="24"/>
      <w:lang w:val="fr-FR" w:eastAsia="fr-FR" w:bidi="fr-FR"/>
    </w:rPr>
  </w:style>
  <w:style w:type="paragraph" w:customStyle="1" w:styleId="HeaderCouncilLarge">
    <w:name w:val="Header Council Large"/>
    <w:basedOn w:val="Normal"/>
    <w:link w:val="HeaderCouncilLargeChar"/>
    <w:rsid w:val="002022AB"/>
    <w:pPr>
      <w:spacing w:after="440" w:line="360" w:lineRule="auto"/>
      <w:ind w:left="-1134" w:right="-1134"/>
    </w:pPr>
    <w:rPr>
      <w:noProof w:val="0"/>
      <w:sz w:val="2"/>
      <w:szCs w:val="24"/>
      <w:lang w:val="fr-FR" w:eastAsia="fr-FR" w:bidi="fr-FR"/>
    </w:rPr>
  </w:style>
  <w:style w:type="character" w:customStyle="1" w:styleId="HeaderCouncilLargeChar">
    <w:name w:val="Header Council Large Char"/>
    <w:link w:val="HeaderCouncilLarge"/>
    <w:rsid w:val="002022AB"/>
    <w:rPr>
      <w:sz w:val="2"/>
      <w:szCs w:val="24"/>
      <w:lang w:bidi="fr-FR"/>
    </w:rPr>
  </w:style>
  <w:style w:type="character" w:customStyle="1" w:styleId="Heading5Char">
    <w:name w:val="Heading 5 Char"/>
    <w:link w:val="Heading5"/>
    <w:rsid w:val="002022AB"/>
    <w:rPr>
      <w:sz w:val="24"/>
      <w:lang w:val="en-US" w:eastAsia="en-GB"/>
    </w:rPr>
  </w:style>
  <w:style w:type="character" w:customStyle="1" w:styleId="Heading6Char">
    <w:name w:val="Heading 6 Char"/>
    <w:link w:val="Heading6"/>
    <w:rsid w:val="002022AB"/>
    <w:rPr>
      <w:rFonts w:ascii="Arial" w:hAnsi="Arial" w:cs="Arial"/>
      <w:i/>
      <w:iCs/>
      <w:sz w:val="22"/>
      <w:szCs w:val="22"/>
    </w:rPr>
  </w:style>
  <w:style w:type="character" w:customStyle="1" w:styleId="Heading7Char">
    <w:name w:val="Heading 7 Char"/>
    <w:link w:val="Heading7"/>
    <w:rsid w:val="002022AB"/>
    <w:rPr>
      <w:rFonts w:ascii="Arial" w:hAnsi="Arial"/>
      <w:sz w:val="24"/>
      <w:lang w:eastAsia="en-GB"/>
    </w:rPr>
  </w:style>
  <w:style w:type="character" w:customStyle="1" w:styleId="Heading8Char">
    <w:name w:val="Heading 8 Char"/>
    <w:link w:val="Heading8"/>
    <w:rsid w:val="002022AB"/>
    <w:rPr>
      <w:rFonts w:ascii="Arial" w:hAnsi="Arial"/>
      <w:i/>
      <w:sz w:val="24"/>
      <w:lang w:eastAsia="en-GB"/>
    </w:rPr>
  </w:style>
  <w:style w:type="character" w:customStyle="1" w:styleId="Heading9Char">
    <w:name w:val="Heading 9 Char"/>
    <w:link w:val="Heading9"/>
    <w:rsid w:val="002022AB"/>
    <w:rPr>
      <w:rFonts w:ascii="Arial" w:hAnsi="Arial"/>
      <w:b/>
      <w:i/>
      <w:sz w:val="18"/>
      <w:lang w:eastAsia="en-GB"/>
    </w:rPr>
  </w:style>
  <w:style w:type="character" w:customStyle="1" w:styleId="Heading1Char">
    <w:name w:val="Heading 1 Char"/>
    <w:link w:val="Heading1"/>
    <w:rsid w:val="002022AB"/>
    <w:rPr>
      <w:b/>
      <w:noProof/>
      <w:kern w:val="28"/>
      <w:sz w:val="28"/>
      <w:lang w:val="en-GB" w:eastAsia="en-GB"/>
    </w:rPr>
  </w:style>
  <w:style w:type="character" w:customStyle="1" w:styleId="Heading2Char">
    <w:name w:val="Heading 2 Char"/>
    <w:link w:val="Heading2"/>
    <w:rsid w:val="002022AB"/>
    <w:rPr>
      <w:b/>
      <w:sz w:val="28"/>
      <w:lang w:val="de-DE" w:eastAsia="en-GB"/>
    </w:rPr>
  </w:style>
  <w:style w:type="character" w:customStyle="1" w:styleId="Heading3Char">
    <w:name w:val="Heading 3 Char"/>
    <w:link w:val="Heading3"/>
    <w:rsid w:val="002022AB"/>
    <w:rPr>
      <w:noProof/>
      <w:sz w:val="28"/>
      <w:lang w:val="en-GB" w:eastAsia="en-GB"/>
    </w:rPr>
  </w:style>
  <w:style w:type="character" w:customStyle="1" w:styleId="FooterChar">
    <w:name w:val="Footer Char"/>
    <w:link w:val="Footer"/>
    <w:rsid w:val="002022AB"/>
    <w:rPr>
      <w:noProof/>
      <w:lang w:val="en-GB" w:eastAsia="en-GB"/>
    </w:rPr>
  </w:style>
  <w:style w:type="character" w:customStyle="1" w:styleId="HeaderChar">
    <w:name w:val="Header Char"/>
    <w:link w:val="Header"/>
    <w:rsid w:val="002022AB"/>
    <w:rPr>
      <w:b/>
      <w:noProof/>
      <w:sz w:val="24"/>
      <w:lang w:val="en-GB" w:eastAsia="en-GB"/>
    </w:rPr>
  </w:style>
  <w:style w:type="paragraph" w:customStyle="1" w:styleId="Numroamendement">
    <w:name w:val="Numéro amendement"/>
    <w:basedOn w:val="Normal"/>
    <w:next w:val="Normal"/>
    <w:rsid w:val="002022AB"/>
    <w:pPr>
      <w:widowControl w:val="0"/>
      <w:jc w:val="center"/>
    </w:pPr>
    <w:rPr>
      <w:noProof w:val="0"/>
      <w:snapToGrid w:val="0"/>
      <w:lang w:val="fr-FR" w:eastAsia="en-US"/>
    </w:rPr>
  </w:style>
  <w:style w:type="paragraph" w:customStyle="1" w:styleId="ATHeading6">
    <w:name w:val="AT Heading 6"/>
    <w:basedOn w:val="Normal"/>
    <w:next w:val="Normal"/>
    <w:rsid w:val="002022AB"/>
    <w:pPr>
      <w:keepNext/>
      <w:keepLines/>
      <w:spacing w:before="120" w:after="120"/>
    </w:pPr>
    <w:rPr>
      <w:smallCaps/>
      <w:lang w:val="fr-FR"/>
    </w:rPr>
  </w:style>
  <w:style w:type="character" w:customStyle="1" w:styleId="HideTWBExt">
    <w:name w:val="HideTWBExt"/>
    <w:rsid w:val="002022AB"/>
    <w:rPr>
      <w:rFonts w:ascii="Arial" w:hAnsi="Arial"/>
      <w:noProof/>
      <w:vanish/>
      <w:color w:val="000080"/>
      <w:sz w:val="20"/>
    </w:rPr>
  </w:style>
  <w:style w:type="paragraph" w:customStyle="1" w:styleId="Footer2">
    <w:name w:val="Footer2"/>
    <w:basedOn w:val="Normal12"/>
    <w:rsid w:val="002022AB"/>
    <w:pPr>
      <w:widowControl/>
      <w:tabs>
        <w:tab w:val="right" w:pos="9921"/>
      </w:tabs>
      <w:ind w:left="-850"/>
    </w:pPr>
    <w:rPr>
      <w:rFonts w:ascii="Arial" w:hAnsi="Arial" w:cs="Arial"/>
      <w:b/>
      <w:sz w:val="48"/>
    </w:rPr>
  </w:style>
  <w:style w:type="paragraph" w:customStyle="1" w:styleId="EntPE">
    <w:name w:val="EntPE"/>
    <w:basedOn w:val="Normal12"/>
    <w:link w:val="CharChar3"/>
    <w:rsid w:val="002022AB"/>
    <w:pPr>
      <w:jc w:val="center"/>
    </w:pPr>
    <w:rPr>
      <w:sz w:val="56"/>
    </w:rPr>
  </w:style>
  <w:style w:type="character" w:customStyle="1" w:styleId="CharChar3">
    <w:name w:val="Char Char3"/>
    <w:link w:val="EntPE"/>
    <w:locked/>
    <w:rsid w:val="002022AB"/>
    <w:rPr>
      <w:sz w:val="56"/>
      <w:lang w:eastAsia="en-GB"/>
    </w:rPr>
  </w:style>
  <w:style w:type="paragraph" w:customStyle="1" w:styleId="Normal12Centre">
    <w:name w:val="Normal12Centre"/>
    <w:basedOn w:val="Normal12"/>
    <w:rsid w:val="002022AB"/>
    <w:pPr>
      <w:jc w:val="center"/>
    </w:pPr>
  </w:style>
  <w:style w:type="paragraph" w:customStyle="1" w:styleId="Normal12Tab">
    <w:name w:val="Normal12Tab"/>
    <w:basedOn w:val="Normal12"/>
    <w:link w:val="CharChar2"/>
    <w:rsid w:val="002022AB"/>
    <w:pPr>
      <w:tabs>
        <w:tab w:val="left" w:pos="357"/>
      </w:tabs>
    </w:pPr>
  </w:style>
  <w:style w:type="character" w:customStyle="1" w:styleId="CharChar2">
    <w:name w:val="Char Char2"/>
    <w:link w:val="Normal12Tab"/>
    <w:locked/>
    <w:rsid w:val="002022AB"/>
    <w:rPr>
      <w:sz w:val="24"/>
      <w:lang w:eastAsia="en-GB"/>
    </w:rPr>
  </w:style>
  <w:style w:type="paragraph" w:customStyle="1" w:styleId="StarsAndIs">
    <w:name w:val="StarsAndIs"/>
    <w:basedOn w:val="Normal"/>
    <w:link w:val="CharChar1"/>
    <w:rsid w:val="002022AB"/>
    <w:pPr>
      <w:widowControl w:val="0"/>
      <w:ind w:left="1418"/>
    </w:pPr>
    <w:rPr>
      <w:rFonts w:ascii="Arial" w:hAnsi="Arial"/>
      <w:b/>
      <w:noProof w:val="0"/>
      <w:sz w:val="48"/>
      <w:lang w:val="fr-FR"/>
    </w:rPr>
  </w:style>
  <w:style w:type="character" w:customStyle="1" w:styleId="CharChar1">
    <w:name w:val="Char Char1"/>
    <w:link w:val="StarsAndIs"/>
    <w:locked/>
    <w:rsid w:val="002022AB"/>
    <w:rPr>
      <w:rFonts w:ascii="Arial" w:hAnsi="Arial"/>
      <w:b/>
      <w:sz w:val="48"/>
      <w:lang w:eastAsia="en-GB"/>
    </w:rPr>
  </w:style>
  <w:style w:type="paragraph" w:customStyle="1" w:styleId="ZDate">
    <w:name w:val="ZDate"/>
    <w:basedOn w:val="Normal"/>
    <w:link w:val="CharChar"/>
    <w:rsid w:val="002022AB"/>
    <w:pPr>
      <w:widowControl w:val="0"/>
      <w:spacing w:after="1200"/>
    </w:pPr>
    <w:rPr>
      <w:noProof w:val="0"/>
      <w:lang w:val="fr-FR"/>
    </w:rPr>
  </w:style>
  <w:style w:type="character" w:customStyle="1" w:styleId="CharChar">
    <w:name w:val="Char Char"/>
    <w:link w:val="ZDate"/>
    <w:locked/>
    <w:rsid w:val="002022AB"/>
    <w:rPr>
      <w:sz w:val="24"/>
      <w:lang w:eastAsia="en-GB"/>
    </w:rPr>
  </w:style>
  <w:style w:type="paragraph" w:customStyle="1" w:styleId="ColumnHeading">
    <w:name w:val="ColumnHeading"/>
    <w:basedOn w:val="Normal"/>
    <w:link w:val="FooterCar"/>
    <w:rsid w:val="002022AB"/>
    <w:pPr>
      <w:widowControl w:val="0"/>
      <w:spacing w:after="240"/>
      <w:jc w:val="center"/>
    </w:pPr>
    <w:rPr>
      <w:i/>
      <w:noProof w:val="0"/>
      <w:lang w:val="fr-FR"/>
    </w:rPr>
  </w:style>
  <w:style w:type="character" w:customStyle="1" w:styleId="FooterCar">
    <w:name w:val="Footer Car"/>
    <w:link w:val="ColumnHeading"/>
    <w:locked/>
    <w:rsid w:val="002022AB"/>
    <w:rPr>
      <w:i/>
      <w:sz w:val="24"/>
      <w:lang w:eastAsia="en-GB"/>
    </w:rPr>
  </w:style>
  <w:style w:type="table" w:styleId="TableGrid">
    <w:name w:val="Table Grid"/>
    <w:basedOn w:val="TableNormal"/>
    <w:link w:val="CharChar30"/>
    <w:rsid w:val="002022A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0">
    <w:name w:val=" Char Char3"/>
    <w:link w:val="TableGrid"/>
    <w:locked/>
    <w:rsid w:val="002022AB"/>
    <w:rPr>
      <w:snapToGrid w:val="0"/>
    </w:rPr>
  </w:style>
  <w:style w:type="paragraph" w:customStyle="1" w:styleId="AMNumberTabs">
    <w:name w:val="AMNumberTabs"/>
    <w:basedOn w:val="Normal"/>
    <w:rsid w:val="002022AB"/>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noProof w:val="0"/>
      <w:lang w:val="fr-FR"/>
    </w:rPr>
  </w:style>
  <w:style w:type="paragraph" w:customStyle="1" w:styleId="LineTop">
    <w:name w:val="LineTop"/>
    <w:basedOn w:val="Normal"/>
    <w:next w:val="ZCommittee"/>
    <w:rsid w:val="002022AB"/>
    <w:pPr>
      <w:widowControl w:val="0"/>
      <w:pBdr>
        <w:top w:val="single" w:sz="4" w:space="1" w:color="auto"/>
      </w:pBdr>
      <w:jc w:val="center"/>
    </w:pPr>
    <w:rPr>
      <w:rFonts w:ascii="Arial" w:hAnsi="Arial"/>
      <w:noProof w:val="0"/>
      <w:sz w:val="16"/>
      <w:szCs w:val="16"/>
      <w:lang w:val="fr-FR"/>
    </w:rPr>
  </w:style>
  <w:style w:type="paragraph" w:customStyle="1" w:styleId="ZCommittee">
    <w:name w:val="ZCommittee"/>
    <w:basedOn w:val="Normal"/>
    <w:next w:val="Normal"/>
    <w:rsid w:val="002022AB"/>
    <w:pPr>
      <w:widowControl w:val="0"/>
      <w:jc w:val="center"/>
    </w:pPr>
    <w:rPr>
      <w:rFonts w:ascii="Arial" w:hAnsi="Arial" w:cs="Arial"/>
      <w:i/>
      <w:noProof w:val="0"/>
      <w:sz w:val="22"/>
      <w:szCs w:val="22"/>
      <w:lang w:val="fr-FR"/>
    </w:rPr>
  </w:style>
  <w:style w:type="paragraph" w:customStyle="1" w:styleId="Considrant">
    <w:name w:val="Considérant"/>
    <w:basedOn w:val="Normal"/>
    <w:rsid w:val="002022AB"/>
    <w:pPr>
      <w:numPr>
        <w:numId w:val="11"/>
      </w:numPr>
      <w:spacing w:before="120" w:after="120"/>
      <w:jc w:val="both"/>
    </w:pPr>
    <w:rPr>
      <w:noProof w:val="0"/>
      <w:snapToGrid w:val="0"/>
      <w:szCs w:val="24"/>
      <w:lang w:val="it-IT"/>
    </w:rPr>
  </w:style>
  <w:style w:type="paragraph" w:styleId="CommentText">
    <w:name w:val="annotation text"/>
    <w:basedOn w:val="Normal"/>
    <w:link w:val="CommentTextChar"/>
    <w:rsid w:val="002022AB"/>
    <w:pPr>
      <w:widowControl w:val="0"/>
    </w:pPr>
    <w:rPr>
      <w:noProof w:val="0"/>
      <w:sz w:val="20"/>
      <w:lang w:val="it-IT"/>
    </w:rPr>
  </w:style>
  <w:style w:type="character" w:customStyle="1" w:styleId="CommentTextChar">
    <w:name w:val="Comment Text Char"/>
    <w:link w:val="CommentText"/>
    <w:rsid w:val="002022AB"/>
    <w:rPr>
      <w:lang w:val="it-IT" w:eastAsia="en-GB"/>
    </w:rPr>
  </w:style>
  <w:style w:type="paragraph" w:styleId="CommentSubject">
    <w:name w:val="annotation subject"/>
    <w:basedOn w:val="CommentText"/>
    <w:next w:val="CommentText"/>
    <w:link w:val="CommentSubjectChar"/>
    <w:rsid w:val="002022AB"/>
    <w:rPr>
      <w:b/>
      <w:bCs/>
    </w:rPr>
  </w:style>
  <w:style w:type="character" w:customStyle="1" w:styleId="CommentSubjectChar">
    <w:name w:val="Comment Subject Char"/>
    <w:link w:val="CommentSubject"/>
    <w:rsid w:val="002022AB"/>
    <w:rPr>
      <w:b/>
      <w:bCs/>
      <w:lang w:val="it-IT" w:eastAsia="en-GB"/>
    </w:rPr>
  </w:style>
  <w:style w:type="paragraph" w:customStyle="1" w:styleId="ConsHeading">
    <w:name w:val="ConsHeading"/>
    <w:basedOn w:val="Normal12Centre"/>
    <w:rsid w:val="002022AB"/>
    <w:pPr>
      <w:spacing w:before="720"/>
    </w:pPr>
    <w:rPr>
      <w:lang w:val="en-GB"/>
    </w:rPr>
  </w:style>
  <w:style w:type="paragraph" w:customStyle="1" w:styleId="ConsLine">
    <w:name w:val="ConsLine"/>
    <w:basedOn w:val="Normal"/>
    <w:rsid w:val="002022AB"/>
    <w:pPr>
      <w:widowControl w:val="0"/>
      <w:spacing w:before="240" w:after="240"/>
      <w:jc w:val="center"/>
    </w:pPr>
    <w:rPr>
      <w:bCs/>
      <w:noProof w:val="0"/>
    </w:rPr>
  </w:style>
  <w:style w:type="paragraph" w:customStyle="1" w:styleId="NormalCentre">
    <w:name w:val="NormalCentre"/>
    <w:basedOn w:val="Normal"/>
    <w:rsid w:val="002022AB"/>
    <w:pPr>
      <w:widowControl w:val="0"/>
      <w:jc w:val="center"/>
    </w:pPr>
    <w:rPr>
      <w:noProof w:val="0"/>
    </w:rPr>
  </w:style>
  <w:style w:type="character" w:styleId="Hyperlink">
    <w:name w:val="Hyperlink"/>
    <w:rsid w:val="002022AB"/>
    <w:rPr>
      <w:color w:val="0000FF"/>
      <w:u w:val="single"/>
      <w:shd w:val="clear" w:color="auto" w:fill="auto"/>
    </w:rPr>
  </w:style>
  <w:style w:type="numbering" w:customStyle="1" w:styleId="NoList1">
    <w:name w:val="No List1"/>
    <w:next w:val="NoList"/>
    <w:semiHidden/>
    <w:rsid w:val="002022AB"/>
  </w:style>
  <w:style w:type="paragraph" w:customStyle="1" w:styleId="EntInstit">
    <w:name w:val="EntInstit"/>
    <w:basedOn w:val="Normal"/>
    <w:rsid w:val="002022AB"/>
    <w:pPr>
      <w:widowControl w:val="0"/>
      <w:jc w:val="right"/>
    </w:pPr>
    <w:rPr>
      <w:b/>
      <w:bCs/>
      <w:noProof w:val="0"/>
      <w:szCs w:val="24"/>
      <w:lang w:val="fr-FR" w:eastAsia="fr-FR"/>
    </w:rPr>
  </w:style>
  <w:style w:type="paragraph" w:customStyle="1" w:styleId="EntRefer">
    <w:name w:val="EntRefer"/>
    <w:basedOn w:val="Normal"/>
    <w:rsid w:val="002022AB"/>
    <w:pPr>
      <w:widowControl w:val="0"/>
    </w:pPr>
    <w:rPr>
      <w:b/>
      <w:bCs/>
      <w:noProof w:val="0"/>
      <w:szCs w:val="24"/>
      <w:lang w:val="fr-FR" w:eastAsia="fr-FR"/>
    </w:rPr>
  </w:style>
  <w:style w:type="paragraph" w:customStyle="1" w:styleId="Par-number1">
    <w:name w:val="Par-number 1)"/>
    <w:basedOn w:val="Normal"/>
    <w:next w:val="Normal"/>
    <w:rsid w:val="002022AB"/>
    <w:pPr>
      <w:widowControl w:val="0"/>
      <w:numPr>
        <w:numId w:val="7"/>
      </w:numPr>
      <w:spacing w:line="360" w:lineRule="auto"/>
    </w:pPr>
    <w:rPr>
      <w:noProof w:val="0"/>
      <w:szCs w:val="24"/>
      <w:lang w:val="fr-FR" w:eastAsia="fr-FR"/>
    </w:rPr>
  </w:style>
  <w:style w:type="paragraph" w:customStyle="1" w:styleId="EntEmet">
    <w:name w:val="EntEmet"/>
    <w:basedOn w:val="Normal"/>
    <w:rsid w:val="002022AB"/>
    <w:pPr>
      <w:widowControl w:val="0"/>
      <w:tabs>
        <w:tab w:val="left" w:pos="284"/>
        <w:tab w:val="left" w:pos="567"/>
        <w:tab w:val="left" w:pos="851"/>
        <w:tab w:val="left" w:pos="1134"/>
        <w:tab w:val="left" w:pos="1418"/>
      </w:tabs>
      <w:spacing w:before="40"/>
    </w:pPr>
    <w:rPr>
      <w:noProof w:val="0"/>
      <w:szCs w:val="24"/>
      <w:lang w:val="fr-FR" w:eastAsia="fr-FR"/>
    </w:rPr>
  </w:style>
  <w:style w:type="paragraph" w:customStyle="1" w:styleId="Par-bullet">
    <w:name w:val="Par-bullet"/>
    <w:basedOn w:val="Normal"/>
    <w:next w:val="Normal"/>
    <w:rsid w:val="002022AB"/>
    <w:pPr>
      <w:widowControl w:val="0"/>
      <w:numPr>
        <w:numId w:val="3"/>
      </w:numPr>
      <w:tabs>
        <w:tab w:val="num" w:pos="567"/>
      </w:tabs>
      <w:spacing w:line="360" w:lineRule="auto"/>
      <w:ind w:left="567" w:hanging="567"/>
    </w:pPr>
    <w:rPr>
      <w:noProof w:val="0"/>
      <w:szCs w:val="24"/>
      <w:lang w:val="fr-FR" w:eastAsia="fr-FR"/>
    </w:rPr>
  </w:style>
  <w:style w:type="paragraph" w:customStyle="1" w:styleId="Par-equal">
    <w:name w:val="Par-equal"/>
    <w:basedOn w:val="Normal"/>
    <w:next w:val="Normal"/>
    <w:rsid w:val="002022AB"/>
    <w:pPr>
      <w:widowControl w:val="0"/>
      <w:numPr>
        <w:numId w:val="5"/>
      </w:numPr>
      <w:spacing w:line="360" w:lineRule="auto"/>
    </w:pPr>
    <w:rPr>
      <w:noProof w:val="0"/>
      <w:szCs w:val="24"/>
      <w:lang w:val="fr-FR" w:eastAsia="fr-FR"/>
    </w:rPr>
  </w:style>
  <w:style w:type="paragraph" w:customStyle="1" w:styleId="Par-number10">
    <w:name w:val="Par-number (1)"/>
    <w:basedOn w:val="Normal"/>
    <w:next w:val="Normal"/>
    <w:rsid w:val="002022AB"/>
    <w:pPr>
      <w:widowControl w:val="0"/>
      <w:numPr>
        <w:numId w:val="6"/>
      </w:numPr>
      <w:spacing w:line="360" w:lineRule="auto"/>
    </w:pPr>
    <w:rPr>
      <w:noProof w:val="0"/>
      <w:szCs w:val="24"/>
      <w:lang w:val="fr-FR" w:eastAsia="fr-FR"/>
    </w:rPr>
  </w:style>
  <w:style w:type="paragraph" w:customStyle="1" w:styleId="Par-number11">
    <w:name w:val="Par-number 1."/>
    <w:basedOn w:val="Normal"/>
    <w:next w:val="Normal"/>
    <w:rsid w:val="002022AB"/>
    <w:pPr>
      <w:widowControl w:val="0"/>
      <w:numPr>
        <w:numId w:val="8"/>
      </w:numPr>
      <w:spacing w:line="360" w:lineRule="auto"/>
    </w:pPr>
    <w:rPr>
      <w:noProof w:val="0"/>
      <w:szCs w:val="24"/>
      <w:lang w:val="fr-FR" w:eastAsia="fr-FR"/>
    </w:rPr>
  </w:style>
  <w:style w:type="paragraph" w:customStyle="1" w:styleId="Par-numberI">
    <w:name w:val="Par-number I."/>
    <w:basedOn w:val="Normal"/>
    <w:next w:val="Normal"/>
    <w:rsid w:val="002022AB"/>
    <w:pPr>
      <w:widowControl w:val="0"/>
      <w:numPr>
        <w:numId w:val="10"/>
      </w:numPr>
      <w:spacing w:line="360" w:lineRule="auto"/>
    </w:pPr>
    <w:rPr>
      <w:noProof w:val="0"/>
      <w:szCs w:val="24"/>
      <w:lang w:val="fr-FR" w:eastAsia="fr-FR"/>
    </w:rPr>
  </w:style>
  <w:style w:type="paragraph" w:customStyle="1" w:styleId="Par-dash">
    <w:name w:val="Par-dash"/>
    <w:basedOn w:val="Normal"/>
    <w:next w:val="Normal"/>
    <w:rsid w:val="002022AB"/>
    <w:pPr>
      <w:widowControl w:val="0"/>
      <w:numPr>
        <w:numId w:val="4"/>
      </w:numPr>
      <w:tabs>
        <w:tab w:val="num" w:pos="567"/>
      </w:tabs>
      <w:spacing w:line="360" w:lineRule="auto"/>
    </w:pPr>
    <w:rPr>
      <w:noProof w:val="0"/>
      <w:szCs w:val="24"/>
      <w:lang w:val="fr-FR" w:eastAsia="fr-FR"/>
    </w:rPr>
  </w:style>
  <w:style w:type="paragraph" w:customStyle="1" w:styleId="EntLogo">
    <w:name w:val="EntLogo"/>
    <w:basedOn w:val="Normal"/>
    <w:next w:val="EntInstit"/>
    <w:rsid w:val="002022AB"/>
    <w:pPr>
      <w:widowControl w:val="0"/>
      <w:spacing w:line="360" w:lineRule="auto"/>
    </w:pPr>
    <w:rPr>
      <w:b/>
      <w:bCs/>
      <w:noProof w:val="0"/>
      <w:szCs w:val="24"/>
      <w:lang w:val="fr-FR" w:eastAsia="fr-FR"/>
    </w:rPr>
  </w:style>
  <w:style w:type="paragraph" w:customStyle="1" w:styleId="FooterLandscape">
    <w:name w:val="FooterLandscape"/>
    <w:basedOn w:val="Footer"/>
    <w:rsid w:val="002022AB"/>
    <w:pPr>
      <w:widowControl w:val="0"/>
      <w:pBdr>
        <w:top w:val="none" w:sz="0" w:space="0" w:color="auto"/>
      </w:pBdr>
      <w:tabs>
        <w:tab w:val="clear" w:pos="9214"/>
        <w:tab w:val="center" w:pos="7371"/>
        <w:tab w:val="center" w:pos="11340"/>
        <w:tab w:val="right" w:pos="14572"/>
      </w:tabs>
    </w:pPr>
    <w:rPr>
      <w:noProof w:val="0"/>
      <w:sz w:val="24"/>
      <w:szCs w:val="24"/>
      <w:lang w:val="fr-FR" w:eastAsia="fr-FR"/>
    </w:rPr>
  </w:style>
  <w:style w:type="paragraph" w:customStyle="1" w:styleId="Par-numberA">
    <w:name w:val="Par-number A."/>
    <w:basedOn w:val="Normal"/>
    <w:next w:val="Normal"/>
    <w:rsid w:val="002022AB"/>
    <w:pPr>
      <w:widowControl w:val="0"/>
      <w:numPr>
        <w:numId w:val="9"/>
      </w:numPr>
      <w:spacing w:line="360" w:lineRule="auto"/>
    </w:pPr>
    <w:rPr>
      <w:noProof w:val="0"/>
      <w:szCs w:val="24"/>
      <w:lang w:val="fr-FR" w:eastAsia="fr-FR"/>
    </w:rPr>
  </w:style>
  <w:style w:type="paragraph" w:styleId="TOC5">
    <w:name w:val="toc 5"/>
    <w:basedOn w:val="Normal"/>
    <w:next w:val="Normal"/>
    <w:autoRedefine/>
    <w:rsid w:val="002022AB"/>
    <w:pPr>
      <w:widowControl w:val="0"/>
      <w:tabs>
        <w:tab w:val="left" w:pos="2835"/>
        <w:tab w:val="right" w:leader="dot" w:pos="9639"/>
      </w:tabs>
      <w:spacing w:line="360" w:lineRule="auto"/>
      <w:ind w:left="2835" w:right="567" w:hanging="567"/>
    </w:pPr>
    <w:rPr>
      <w:noProof w:val="0"/>
      <w:szCs w:val="24"/>
      <w:lang w:val="fr-FR" w:eastAsia="fr-FR"/>
    </w:rPr>
  </w:style>
  <w:style w:type="paragraph" w:styleId="TOC6">
    <w:name w:val="toc 6"/>
    <w:basedOn w:val="Normal"/>
    <w:next w:val="Normal"/>
    <w:autoRedefine/>
    <w:rsid w:val="002022AB"/>
    <w:pPr>
      <w:widowControl w:val="0"/>
      <w:tabs>
        <w:tab w:val="left" w:pos="3402"/>
        <w:tab w:val="right" w:leader="dot" w:pos="9639"/>
      </w:tabs>
      <w:spacing w:line="360" w:lineRule="auto"/>
      <w:ind w:left="3402" w:right="567" w:hanging="567"/>
    </w:pPr>
    <w:rPr>
      <w:noProof w:val="0"/>
      <w:szCs w:val="24"/>
      <w:lang w:val="fr-FR" w:eastAsia="fr-FR"/>
    </w:rPr>
  </w:style>
  <w:style w:type="paragraph" w:styleId="TOC7">
    <w:name w:val="toc 7"/>
    <w:basedOn w:val="Normal"/>
    <w:next w:val="Normal"/>
    <w:autoRedefine/>
    <w:rsid w:val="002022AB"/>
    <w:pPr>
      <w:widowControl w:val="0"/>
      <w:tabs>
        <w:tab w:val="left" w:pos="3969"/>
        <w:tab w:val="right" w:leader="dot" w:pos="9639"/>
      </w:tabs>
      <w:spacing w:line="360" w:lineRule="auto"/>
      <w:ind w:left="3969" w:right="567" w:hanging="567"/>
    </w:pPr>
    <w:rPr>
      <w:noProof w:val="0"/>
      <w:szCs w:val="24"/>
      <w:lang w:val="fr-FR" w:eastAsia="fr-FR"/>
    </w:rPr>
  </w:style>
  <w:style w:type="paragraph" w:styleId="TOC8">
    <w:name w:val="toc 8"/>
    <w:basedOn w:val="Normal"/>
    <w:next w:val="Normal"/>
    <w:autoRedefine/>
    <w:rsid w:val="002022AB"/>
    <w:pPr>
      <w:widowControl w:val="0"/>
      <w:tabs>
        <w:tab w:val="left" w:pos="4536"/>
        <w:tab w:val="right" w:leader="dot" w:pos="9639"/>
      </w:tabs>
      <w:spacing w:line="360" w:lineRule="auto"/>
      <w:ind w:left="4536" w:right="567" w:hanging="567"/>
    </w:pPr>
    <w:rPr>
      <w:noProof w:val="0"/>
      <w:szCs w:val="24"/>
      <w:lang w:val="fr-FR" w:eastAsia="fr-FR"/>
    </w:rPr>
  </w:style>
  <w:style w:type="paragraph" w:styleId="TOC9">
    <w:name w:val="toc 9"/>
    <w:basedOn w:val="Normal"/>
    <w:next w:val="Normal"/>
    <w:autoRedefine/>
    <w:rsid w:val="002022AB"/>
    <w:pPr>
      <w:widowControl w:val="0"/>
      <w:tabs>
        <w:tab w:val="left" w:pos="5103"/>
        <w:tab w:val="right" w:leader="dot" w:pos="9639"/>
      </w:tabs>
      <w:spacing w:line="360" w:lineRule="auto"/>
      <w:ind w:left="5103" w:right="567" w:hanging="567"/>
    </w:pPr>
    <w:rPr>
      <w:noProof w:val="0"/>
      <w:szCs w:val="24"/>
      <w:lang w:val="fr-FR" w:eastAsia="fr-FR"/>
    </w:rPr>
  </w:style>
  <w:style w:type="paragraph" w:styleId="EndnoteText">
    <w:name w:val="endnote text"/>
    <w:basedOn w:val="Normal"/>
    <w:link w:val="EndnoteTextChar"/>
    <w:rsid w:val="002022AB"/>
    <w:pPr>
      <w:widowControl w:val="0"/>
      <w:tabs>
        <w:tab w:val="left" w:pos="567"/>
      </w:tabs>
      <w:ind w:left="567" w:hanging="567"/>
    </w:pPr>
    <w:rPr>
      <w:noProof w:val="0"/>
      <w:szCs w:val="24"/>
      <w:lang w:val="fr-FR" w:eastAsia="fr-FR"/>
    </w:rPr>
  </w:style>
  <w:style w:type="character" w:customStyle="1" w:styleId="EndnoteTextChar">
    <w:name w:val="Endnote Text Char"/>
    <w:link w:val="EndnoteText"/>
    <w:rsid w:val="002022AB"/>
    <w:rPr>
      <w:sz w:val="24"/>
      <w:szCs w:val="24"/>
    </w:rPr>
  </w:style>
  <w:style w:type="character" w:styleId="EndnoteReference">
    <w:name w:val="endnote reference"/>
    <w:rsid w:val="002022AB"/>
    <w:rPr>
      <w:b/>
      <w:bCs/>
      <w:vertAlign w:val="superscript"/>
      <w:lang w:val="fr-FR" w:eastAsia="fr-FR"/>
    </w:rPr>
  </w:style>
  <w:style w:type="paragraph" w:customStyle="1" w:styleId="AC">
    <w:name w:val="AC"/>
    <w:basedOn w:val="Normal"/>
    <w:next w:val="Normal"/>
    <w:rsid w:val="002022AB"/>
    <w:pPr>
      <w:widowControl w:val="0"/>
      <w:spacing w:line="360" w:lineRule="auto"/>
    </w:pPr>
    <w:rPr>
      <w:b/>
      <w:bCs/>
      <w:noProof w:val="0"/>
      <w:sz w:val="40"/>
      <w:szCs w:val="40"/>
      <w:lang w:val="fr-FR" w:eastAsia="fr-FR"/>
    </w:rPr>
  </w:style>
  <w:style w:type="paragraph" w:customStyle="1" w:styleId="Par-numberi0">
    <w:name w:val="Par-number (i)"/>
    <w:basedOn w:val="Normal"/>
    <w:next w:val="Normal"/>
    <w:rsid w:val="002022AB"/>
    <w:pPr>
      <w:widowControl w:val="0"/>
      <w:numPr>
        <w:numId w:val="1"/>
      </w:numPr>
      <w:tabs>
        <w:tab w:val="clear" w:pos="360"/>
        <w:tab w:val="left" w:pos="567"/>
      </w:tabs>
      <w:spacing w:line="360" w:lineRule="auto"/>
      <w:ind w:left="567" w:hanging="567"/>
    </w:pPr>
    <w:rPr>
      <w:noProof w:val="0"/>
      <w:szCs w:val="24"/>
      <w:lang w:val="fr-FR" w:eastAsia="fr-FR"/>
    </w:rPr>
  </w:style>
  <w:style w:type="paragraph" w:customStyle="1" w:styleId="Par-numbera0">
    <w:name w:val="Par-number (a)"/>
    <w:basedOn w:val="Normal"/>
    <w:next w:val="Normal"/>
    <w:rsid w:val="002022AB"/>
    <w:pPr>
      <w:widowControl w:val="0"/>
      <w:numPr>
        <w:numId w:val="2"/>
      </w:numPr>
      <w:tabs>
        <w:tab w:val="num" w:pos="567"/>
      </w:tabs>
      <w:spacing w:line="360" w:lineRule="auto"/>
      <w:ind w:left="567" w:hanging="567"/>
    </w:pPr>
    <w:rPr>
      <w:noProof w:val="0"/>
      <w:szCs w:val="24"/>
      <w:lang w:val="fr-FR" w:eastAsia="fr-FR"/>
    </w:rPr>
  </w:style>
  <w:style w:type="character" w:customStyle="1" w:styleId="DontTranslate">
    <w:name w:val="DontTranslate"/>
    <w:rsid w:val="002022AB"/>
    <w:rPr>
      <w:color w:val="FF0000"/>
      <w:lang w:val="fr-FR" w:eastAsia="fr-FR"/>
    </w:rPr>
  </w:style>
  <w:style w:type="paragraph" w:customStyle="1" w:styleId="AddReference">
    <w:name w:val="Add Reference"/>
    <w:basedOn w:val="Normal"/>
    <w:rsid w:val="002022AB"/>
    <w:pPr>
      <w:widowControl w:val="0"/>
      <w:pBdr>
        <w:top w:val="single" w:sz="4" w:space="1" w:color="auto"/>
        <w:left w:val="single" w:sz="4" w:space="4" w:color="auto"/>
        <w:bottom w:val="single" w:sz="4" w:space="1" w:color="auto"/>
        <w:right w:val="single" w:sz="4" w:space="4" w:color="auto"/>
      </w:pBdr>
      <w:ind w:left="7655" w:right="-454"/>
    </w:pPr>
    <w:rPr>
      <w:i/>
      <w:iCs/>
      <w:noProof w:val="0"/>
      <w:sz w:val="20"/>
      <w:lang w:val="fr-FR" w:eastAsia="fr-FR"/>
    </w:rPr>
  </w:style>
  <w:style w:type="paragraph" w:styleId="DocumentMap">
    <w:name w:val="Document Map"/>
    <w:basedOn w:val="Normal"/>
    <w:link w:val="DocumentMapChar"/>
    <w:rsid w:val="002022AB"/>
    <w:pPr>
      <w:widowControl w:val="0"/>
      <w:shd w:val="clear" w:color="auto" w:fill="000080"/>
      <w:spacing w:line="360" w:lineRule="auto"/>
    </w:pPr>
    <w:rPr>
      <w:rFonts w:ascii="Tahoma" w:hAnsi="Tahoma" w:cs="Tahoma"/>
      <w:noProof w:val="0"/>
      <w:szCs w:val="24"/>
      <w:lang w:val="fr-FR" w:eastAsia="fr-FR"/>
    </w:rPr>
  </w:style>
  <w:style w:type="character" w:customStyle="1" w:styleId="DocumentMapChar">
    <w:name w:val="Document Map Char"/>
    <w:link w:val="DocumentMap"/>
    <w:rsid w:val="002022AB"/>
    <w:rPr>
      <w:rFonts w:ascii="Tahoma" w:hAnsi="Tahoma" w:cs="Tahoma"/>
      <w:sz w:val="24"/>
      <w:szCs w:val="24"/>
      <w:shd w:val="clear" w:color="auto" w:fill="000080"/>
    </w:rPr>
  </w:style>
  <w:style w:type="paragraph" w:customStyle="1" w:styleId="Default">
    <w:name w:val="Default"/>
    <w:rsid w:val="002022AB"/>
    <w:pPr>
      <w:autoSpaceDE w:val="0"/>
      <w:autoSpaceDN w:val="0"/>
      <w:adjustRightInd w:val="0"/>
    </w:pPr>
    <w:rPr>
      <w:rFonts w:ascii="Verdana" w:hAnsi="Verdana" w:cs="Verdana"/>
      <w:color w:val="000000"/>
      <w:sz w:val="24"/>
      <w:szCs w:val="24"/>
      <w:lang w:val="fr-FR" w:eastAsia="fr-FR"/>
    </w:rPr>
  </w:style>
  <w:style w:type="paragraph" w:customStyle="1" w:styleId="Statut">
    <w:name w:val="Statut"/>
    <w:basedOn w:val="Normal"/>
    <w:next w:val="Typedudocument"/>
    <w:rsid w:val="002022AB"/>
    <w:pPr>
      <w:spacing w:before="360"/>
      <w:jc w:val="center"/>
    </w:pPr>
    <w:rPr>
      <w:noProof w:val="0"/>
      <w:szCs w:val="24"/>
      <w:lang w:val="fr-FR" w:eastAsia="fr-FR"/>
    </w:rPr>
  </w:style>
  <w:style w:type="paragraph" w:customStyle="1" w:styleId="Typedudocument">
    <w:name w:val="Type du document"/>
    <w:basedOn w:val="Normal"/>
    <w:next w:val="Normal"/>
    <w:rsid w:val="002022AB"/>
    <w:pPr>
      <w:spacing w:before="360"/>
      <w:jc w:val="center"/>
    </w:pPr>
    <w:rPr>
      <w:b/>
      <w:bCs/>
      <w:noProof w:val="0"/>
      <w:szCs w:val="24"/>
      <w:lang w:val="fr-FR" w:eastAsia="fr-FR"/>
    </w:rPr>
  </w:style>
  <w:style w:type="paragraph" w:customStyle="1" w:styleId="Titrearticle">
    <w:name w:val="Titre article"/>
    <w:basedOn w:val="Normal"/>
    <w:next w:val="Normal"/>
    <w:rsid w:val="002022AB"/>
    <w:pPr>
      <w:keepNext/>
      <w:spacing w:before="360" w:after="120"/>
      <w:jc w:val="center"/>
    </w:pPr>
    <w:rPr>
      <w:i/>
      <w:iCs/>
      <w:noProof w:val="0"/>
      <w:szCs w:val="24"/>
      <w:lang w:val="fr-FR" w:eastAsia="fr-FR"/>
    </w:rPr>
  </w:style>
  <w:style w:type="paragraph" w:customStyle="1" w:styleId="ListNumber1">
    <w:name w:val="List Number 1"/>
    <w:basedOn w:val="Normal"/>
    <w:rsid w:val="002022AB"/>
    <w:pPr>
      <w:numPr>
        <w:numId w:val="22"/>
      </w:numPr>
      <w:spacing w:before="120" w:after="120"/>
      <w:jc w:val="both"/>
    </w:pPr>
    <w:rPr>
      <w:noProof w:val="0"/>
      <w:szCs w:val="24"/>
      <w:lang w:val="fr-FR" w:eastAsia="fr-FR"/>
    </w:rPr>
  </w:style>
  <w:style w:type="paragraph" w:customStyle="1" w:styleId="ListNumber1Level2">
    <w:name w:val="List Number 1 (Level 2)"/>
    <w:basedOn w:val="Normal"/>
    <w:rsid w:val="002022AB"/>
    <w:pPr>
      <w:numPr>
        <w:ilvl w:val="1"/>
        <w:numId w:val="22"/>
      </w:numPr>
      <w:spacing w:before="120" w:after="120"/>
      <w:jc w:val="both"/>
    </w:pPr>
    <w:rPr>
      <w:noProof w:val="0"/>
      <w:szCs w:val="24"/>
      <w:lang w:val="fr-FR" w:eastAsia="fr-FR"/>
    </w:rPr>
  </w:style>
  <w:style w:type="paragraph" w:customStyle="1" w:styleId="ListNumber1Level3">
    <w:name w:val="List Number 1 (Level 3)"/>
    <w:basedOn w:val="Normal"/>
    <w:rsid w:val="002022AB"/>
    <w:pPr>
      <w:numPr>
        <w:ilvl w:val="2"/>
        <w:numId w:val="22"/>
      </w:numPr>
      <w:spacing w:before="120" w:after="120"/>
      <w:jc w:val="both"/>
    </w:pPr>
    <w:rPr>
      <w:noProof w:val="0"/>
      <w:szCs w:val="24"/>
      <w:lang w:val="fr-FR" w:eastAsia="fr-FR"/>
    </w:rPr>
  </w:style>
  <w:style w:type="paragraph" w:customStyle="1" w:styleId="ListNumber1Level4">
    <w:name w:val="List Number 1 (Level 4)"/>
    <w:basedOn w:val="Normal"/>
    <w:rsid w:val="002022AB"/>
    <w:pPr>
      <w:numPr>
        <w:ilvl w:val="3"/>
        <w:numId w:val="22"/>
      </w:numPr>
      <w:spacing w:before="120" w:after="120"/>
      <w:jc w:val="both"/>
    </w:pPr>
    <w:rPr>
      <w:noProof w:val="0"/>
      <w:szCs w:val="24"/>
      <w:lang w:val="fr-FR" w:eastAsia="fr-FR"/>
    </w:rPr>
  </w:style>
  <w:style w:type="paragraph" w:customStyle="1" w:styleId="Formatvorlage1">
    <w:name w:val="Formatvorlage1"/>
    <w:basedOn w:val="FootnoteText"/>
    <w:rsid w:val="002022AB"/>
    <w:pPr>
      <w:keepLines w:val="0"/>
      <w:spacing w:line="240" w:lineRule="auto"/>
      <w:ind w:left="0" w:firstLine="0"/>
      <w:jc w:val="both"/>
    </w:pPr>
    <w:rPr>
      <w:noProof w:val="0"/>
      <w:sz w:val="20"/>
      <w:lang w:val="fr-FR" w:eastAsia="fr-FR"/>
    </w:rPr>
  </w:style>
  <w:style w:type="paragraph" w:customStyle="1" w:styleId="LightGrid-Accent31">
    <w:name w:val="Light Grid - Accent 31"/>
    <w:basedOn w:val="Normal"/>
    <w:rsid w:val="002022AB"/>
    <w:pPr>
      <w:ind w:left="720"/>
    </w:pPr>
    <w:rPr>
      <w:noProof w:val="0"/>
      <w:szCs w:val="24"/>
      <w:lang w:val="fr-FR" w:eastAsia="fr-FR"/>
    </w:rPr>
  </w:style>
  <w:style w:type="paragraph" w:styleId="NormalWeb">
    <w:name w:val="Normal (Web)"/>
    <w:basedOn w:val="Normal"/>
    <w:rsid w:val="002022AB"/>
    <w:pPr>
      <w:spacing w:before="100" w:beforeAutospacing="1" w:after="100" w:afterAutospacing="1"/>
    </w:pPr>
    <w:rPr>
      <w:noProof w:val="0"/>
      <w:szCs w:val="24"/>
      <w:lang w:val="fr-FR" w:eastAsia="fr-FR"/>
    </w:rPr>
  </w:style>
  <w:style w:type="paragraph" w:styleId="Title">
    <w:name w:val="Title"/>
    <w:basedOn w:val="Normal"/>
    <w:link w:val="TitleChar"/>
    <w:qFormat/>
    <w:rsid w:val="002022AB"/>
    <w:pPr>
      <w:autoSpaceDE w:val="0"/>
      <w:autoSpaceDN w:val="0"/>
      <w:jc w:val="center"/>
    </w:pPr>
    <w:rPr>
      <w:rFonts w:ascii="Garamond" w:hAnsi="Garamond" w:cs="Garamond"/>
      <w:i/>
      <w:iCs/>
      <w:noProof w:val="0"/>
      <w:szCs w:val="24"/>
      <w:lang w:val="fr-FR" w:eastAsia="fr-FR"/>
    </w:rPr>
  </w:style>
  <w:style w:type="character" w:customStyle="1" w:styleId="TitleChar">
    <w:name w:val="Title Char"/>
    <w:link w:val="Title"/>
    <w:rsid w:val="002022AB"/>
    <w:rPr>
      <w:rFonts w:ascii="Garamond" w:hAnsi="Garamond" w:cs="Garamond"/>
      <w:i/>
      <w:iCs/>
      <w:sz w:val="24"/>
      <w:szCs w:val="24"/>
    </w:rPr>
  </w:style>
  <w:style w:type="paragraph" w:styleId="ListNumber">
    <w:name w:val="List Number"/>
    <w:basedOn w:val="Normal"/>
    <w:rsid w:val="002022AB"/>
    <w:pPr>
      <w:numPr>
        <w:numId w:val="24"/>
      </w:numPr>
      <w:spacing w:before="120" w:after="120"/>
      <w:jc w:val="both"/>
    </w:pPr>
    <w:rPr>
      <w:noProof w:val="0"/>
      <w:szCs w:val="24"/>
      <w:lang w:val="fr-FR" w:eastAsia="fr-FR"/>
    </w:rPr>
  </w:style>
  <w:style w:type="paragraph" w:styleId="ListNumber4">
    <w:name w:val="List Number 4"/>
    <w:basedOn w:val="Normal"/>
    <w:rsid w:val="002022AB"/>
    <w:pPr>
      <w:numPr>
        <w:numId w:val="23"/>
      </w:numPr>
      <w:spacing w:before="120" w:after="120"/>
      <w:jc w:val="both"/>
    </w:pPr>
    <w:rPr>
      <w:noProof w:val="0"/>
      <w:szCs w:val="24"/>
      <w:lang w:val="fr-FR" w:eastAsia="fr-FR"/>
    </w:rPr>
  </w:style>
  <w:style w:type="paragraph" w:customStyle="1" w:styleId="NumPar1">
    <w:name w:val="NumPar 1"/>
    <w:basedOn w:val="Normal"/>
    <w:next w:val="Normal"/>
    <w:rsid w:val="002022AB"/>
    <w:pPr>
      <w:numPr>
        <w:numId w:val="25"/>
      </w:numPr>
      <w:spacing w:before="120" w:after="120"/>
      <w:jc w:val="both"/>
    </w:pPr>
    <w:rPr>
      <w:noProof w:val="0"/>
      <w:szCs w:val="24"/>
      <w:lang w:val="fr-FR" w:eastAsia="fr-FR"/>
    </w:rPr>
  </w:style>
  <w:style w:type="paragraph" w:customStyle="1" w:styleId="NumPar2">
    <w:name w:val="NumPar 2"/>
    <w:basedOn w:val="Normal"/>
    <w:next w:val="Normal"/>
    <w:rsid w:val="002022AB"/>
    <w:pPr>
      <w:numPr>
        <w:ilvl w:val="1"/>
        <w:numId w:val="25"/>
      </w:numPr>
      <w:spacing w:before="120" w:after="120"/>
      <w:jc w:val="both"/>
    </w:pPr>
    <w:rPr>
      <w:noProof w:val="0"/>
      <w:szCs w:val="24"/>
      <w:lang w:val="fr-FR" w:eastAsia="fr-FR"/>
    </w:rPr>
  </w:style>
  <w:style w:type="paragraph" w:customStyle="1" w:styleId="NumPar3">
    <w:name w:val="NumPar 3"/>
    <w:basedOn w:val="Normal"/>
    <w:next w:val="Normal"/>
    <w:rsid w:val="002022AB"/>
    <w:pPr>
      <w:numPr>
        <w:ilvl w:val="2"/>
        <w:numId w:val="25"/>
      </w:numPr>
      <w:spacing w:before="120" w:after="120"/>
      <w:jc w:val="both"/>
    </w:pPr>
    <w:rPr>
      <w:noProof w:val="0"/>
      <w:szCs w:val="24"/>
      <w:lang w:val="fr-FR" w:eastAsia="fr-FR"/>
    </w:rPr>
  </w:style>
  <w:style w:type="paragraph" w:customStyle="1" w:styleId="NumPar4">
    <w:name w:val="NumPar 4"/>
    <w:basedOn w:val="Normal"/>
    <w:next w:val="Normal"/>
    <w:rsid w:val="002022AB"/>
    <w:pPr>
      <w:numPr>
        <w:ilvl w:val="3"/>
        <w:numId w:val="25"/>
      </w:numPr>
      <w:spacing w:before="120" w:after="120"/>
      <w:jc w:val="both"/>
    </w:pPr>
    <w:rPr>
      <w:noProof w:val="0"/>
      <w:szCs w:val="24"/>
      <w:lang w:val="fr-FR" w:eastAsia="fr-FR"/>
    </w:rPr>
  </w:style>
  <w:style w:type="paragraph" w:customStyle="1" w:styleId="ChapterTitle">
    <w:name w:val="ChapterTitle"/>
    <w:basedOn w:val="Normal"/>
    <w:next w:val="Normal"/>
    <w:rsid w:val="002022AB"/>
    <w:pPr>
      <w:keepNext/>
      <w:spacing w:before="120" w:after="360"/>
      <w:jc w:val="center"/>
    </w:pPr>
    <w:rPr>
      <w:b/>
      <w:bCs/>
      <w:noProof w:val="0"/>
      <w:sz w:val="32"/>
      <w:szCs w:val="32"/>
      <w:lang w:val="fr-FR" w:eastAsia="fr-FR"/>
    </w:rPr>
  </w:style>
  <w:style w:type="paragraph" w:customStyle="1" w:styleId="ListNumberLevel2">
    <w:name w:val="List Number (Level 2)"/>
    <w:basedOn w:val="Normal"/>
    <w:rsid w:val="002022AB"/>
    <w:pPr>
      <w:numPr>
        <w:ilvl w:val="1"/>
        <w:numId w:val="24"/>
      </w:numPr>
      <w:spacing w:before="120" w:after="120"/>
      <w:jc w:val="both"/>
    </w:pPr>
    <w:rPr>
      <w:noProof w:val="0"/>
      <w:szCs w:val="24"/>
      <w:lang w:val="fr-FR" w:eastAsia="fr-FR"/>
    </w:rPr>
  </w:style>
  <w:style w:type="paragraph" w:customStyle="1" w:styleId="ListNumber4Level2">
    <w:name w:val="List Number 4 (Level 2)"/>
    <w:basedOn w:val="Normal"/>
    <w:rsid w:val="002022AB"/>
    <w:pPr>
      <w:numPr>
        <w:ilvl w:val="1"/>
        <w:numId w:val="23"/>
      </w:numPr>
      <w:spacing w:before="120" w:after="120"/>
      <w:jc w:val="both"/>
    </w:pPr>
    <w:rPr>
      <w:noProof w:val="0"/>
      <w:szCs w:val="24"/>
      <w:lang w:val="fr-FR" w:eastAsia="fr-FR"/>
    </w:rPr>
  </w:style>
  <w:style w:type="paragraph" w:customStyle="1" w:styleId="ListNumberLevel3">
    <w:name w:val="List Number (Level 3)"/>
    <w:basedOn w:val="Normal"/>
    <w:rsid w:val="002022AB"/>
    <w:pPr>
      <w:numPr>
        <w:ilvl w:val="2"/>
        <w:numId w:val="24"/>
      </w:numPr>
      <w:spacing w:before="120" w:after="120"/>
      <w:jc w:val="both"/>
    </w:pPr>
    <w:rPr>
      <w:noProof w:val="0"/>
      <w:szCs w:val="24"/>
      <w:lang w:val="fr-FR" w:eastAsia="fr-FR"/>
    </w:rPr>
  </w:style>
  <w:style w:type="paragraph" w:customStyle="1" w:styleId="ListNumber4Level3">
    <w:name w:val="List Number 4 (Level 3)"/>
    <w:basedOn w:val="Normal"/>
    <w:rsid w:val="002022AB"/>
    <w:pPr>
      <w:numPr>
        <w:ilvl w:val="2"/>
        <w:numId w:val="23"/>
      </w:numPr>
      <w:spacing w:before="120" w:after="120"/>
      <w:jc w:val="both"/>
    </w:pPr>
    <w:rPr>
      <w:noProof w:val="0"/>
      <w:szCs w:val="24"/>
      <w:lang w:val="fr-FR" w:eastAsia="fr-FR"/>
    </w:rPr>
  </w:style>
  <w:style w:type="paragraph" w:customStyle="1" w:styleId="ListNumberLevel4">
    <w:name w:val="List Number (Level 4)"/>
    <w:basedOn w:val="Normal"/>
    <w:rsid w:val="002022AB"/>
    <w:pPr>
      <w:numPr>
        <w:ilvl w:val="3"/>
        <w:numId w:val="24"/>
      </w:numPr>
      <w:spacing w:before="120" w:after="120"/>
      <w:jc w:val="both"/>
    </w:pPr>
    <w:rPr>
      <w:noProof w:val="0"/>
      <w:szCs w:val="24"/>
      <w:lang w:val="fr-FR" w:eastAsia="fr-FR"/>
    </w:rPr>
  </w:style>
  <w:style w:type="paragraph" w:customStyle="1" w:styleId="ListNumber4Level4">
    <w:name w:val="List Number 4 (Level 4)"/>
    <w:basedOn w:val="Normal"/>
    <w:rsid w:val="002022AB"/>
    <w:pPr>
      <w:numPr>
        <w:ilvl w:val="3"/>
        <w:numId w:val="23"/>
      </w:numPr>
      <w:spacing w:before="120" w:after="120"/>
      <w:jc w:val="both"/>
    </w:pPr>
    <w:rPr>
      <w:noProof w:val="0"/>
      <w:szCs w:val="24"/>
      <w:lang w:val="fr-FR" w:eastAsia="fr-FR"/>
    </w:rPr>
  </w:style>
  <w:style w:type="paragraph" w:customStyle="1" w:styleId="Formuledadoption">
    <w:name w:val="Formule d'adoption"/>
    <w:basedOn w:val="Normal"/>
    <w:next w:val="Titrearticle"/>
    <w:rsid w:val="002022AB"/>
    <w:pPr>
      <w:keepNext/>
      <w:spacing w:before="120" w:after="120"/>
      <w:jc w:val="both"/>
    </w:pPr>
    <w:rPr>
      <w:noProof w:val="0"/>
      <w:szCs w:val="24"/>
      <w:lang w:val="fr-FR" w:eastAsia="fr-FR"/>
    </w:rPr>
  </w:style>
  <w:style w:type="paragraph" w:customStyle="1" w:styleId="Institutionquiagit">
    <w:name w:val="Institution qui agit"/>
    <w:basedOn w:val="Normal"/>
    <w:next w:val="Normal"/>
    <w:rsid w:val="002022AB"/>
    <w:pPr>
      <w:keepNext/>
      <w:spacing w:before="600" w:after="120"/>
      <w:jc w:val="both"/>
    </w:pPr>
    <w:rPr>
      <w:noProof w:val="0"/>
      <w:szCs w:val="24"/>
      <w:lang w:val="fr-FR" w:eastAsia="fr-FR"/>
    </w:rPr>
  </w:style>
  <w:style w:type="paragraph" w:customStyle="1" w:styleId="Titreobjet">
    <w:name w:val="Titre objet"/>
    <w:basedOn w:val="Normal"/>
    <w:next w:val="Normal"/>
    <w:rsid w:val="002022AB"/>
    <w:pPr>
      <w:spacing w:before="360" w:after="360"/>
      <w:jc w:val="center"/>
    </w:pPr>
    <w:rPr>
      <w:b/>
      <w:bCs/>
      <w:noProof w:val="0"/>
      <w:szCs w:val="24"/>
      <w:lang w:val="fr-FR" w:eastAsia="fr-FR"/>
    </w:rPr>
  </w:style>
  <w:style w:type="paragraph" w:customStyle="1" w:styleId="ManualNumPar1">
    <w:name w:val="Manual NumPar 1"/>
    <w:basedOn w:val="Normal"/>
    <w:next w:val="Normal"/>
    <w:rsid w:val="002022AB"/>
    <w:pPr>
      <w:spacing w:before="120" w:after="120"/>
      <w:ind w:left="850" w:hanging="850"/>
      <w:jc w:val="both"/>
    </w:pPr>
    <w:rPr>
      <w:noProof w:val="0"/>
      <w:szCs w:val="24"/>
      <w:lang w:val="fr-FR" w:eastAsia="fr-FR"/>
    </w:rPr>
  </w:style>
  <w:style w:type="paragraph" w:styleId="ListNumber3">
    <w:name w:val="List Number 3"/>
    <w:basedOn w:val="Normal"/>
    <w:rsid w:val="002022AB"/>
    <w:pPr>
      <w:numPr>
        <w:numId w:val="26"/>
      </w:numPr>
      <w:spacing w:before="120" w:after="120"/>
      <w:jc w:val="both"/>
    </w:pPr>
    <w:rPr>
      <w:noProof w:val="0"/>
      <w:szCs w:val="24"/>
      <w:lang w:val="fr-FR" w:eastAsia="fr-FR"/>
    </w:rPr>
  </w:style>
  <w:style w:type="paragraph" w:customStyle="1" w:styleId="ListNumber3Level2">
    <w:name w:val="List Number 3 (Level 2)"/>
    <w:basedOn w:val="Normal"/>
    <w:rsid w:val="002022AB"/>
    <w:pPr>
      <w:numPr>
        <w:ilvl w:val="1"/>
        <w:numId w:val="26"/>
      </w:numPr>
      <w:spacing w:before="120" w:after="120"/>
      <w:jc w:val="both"/>
    </w:pPr>
    <w:rPr>
      <w:noProof w:val="0"/>
      <w:szCs w:val="24"/>
      <w:lang w:val="fr-FR" w:eastAsia="fr-FR"/>
    </w:rPr>
  </w:style>
  <w:style w:type="paragraph" w:customStyle="1" w:styleId="ListNumber3Level3">
    <w:name w:val="List Number 3 (Level 3)"/>
    <w:basedOn w:val="Normal"/>
    <w:rsid w:val="002022AB"/>
    <w:pPr>
      <w:numPr>
        <w:ilvl w:val="2"/>
        <w:numId w:val="26"/>
      </w:numPr>
      <w:spacing w:before="120" w:after="120"/>
      <w:jc w:val="both"/>
    </w:pPr>
    <w:rPr>
      <w:noProof w:val="0"/>
      <w:szCs w:val="24"/>
      <w:lang w:val="fr-FR" w:eastAsia="fr-FR"/>
    </w:rPr>
  </w:style>
  <w:style w:type="paragraph" w:customStyle="1" w:styleId="ListNumber3Level4">
    <w:name w:val="List Number 3 (Level 4)"/>
    <w:basedOn w:val="Normal"/>
    <w:rsid w:val="002022AB"/>
    <w:pPr>
      <w:numPr>
        <w:ilvl w:val="3"/>
        <w:numId w:val="26"/>
      </w:numPr>
      <w:spacing w:before="120" w:after="120"/>
      <w:jc w:val="both"/>
    </w:pPr>
    <w:rPr>
      <w:noProof w:val="0"/>
      <w:szCs w:val="24"/>
      <w:lang w:val="fr-FR" w:eastAsia="fr-FR"/>
    </w:rPr>
  </w:style>
  <w:style w:type="character" w:customStyle="1" w:styleId="longtext1">
    <w:name w:val="long_text1"/>
    <w:rsid w:val="002022AB"/>
    <w:rPr>
      <w:sz w:val="15"/>
      <w:szCs w:val="15"/>
      <w:lang w:val="fr-FR" w:eastAsia="fr-FR"/>
    </w:rPr>
  </w:style>
  <w:style w:type="character" w:styleId="CommentReference">
    <w:name w:val="annotation reference"/>
    <w:rsid w:val="002022AB"/>
    <w:rPr>
      <w:sz w:val="16"/>
      <w:szCs w:val="16"/>
      <w:lang w:val="fr-FR" w:eastAsia="fr-FR"/>
    </w:rPr>
  </w:style>
  <w:style w:type="paragraph" w:customStyle="1" w:styleId="MediumGrid2-Accent11">
    <w:name w:val="Medium Grid 2 - Accent 11"/>
    <w:rsid w:val="002022AB"/>
    <w:rPr>
      <w:rFonts w:ascii="Calibri" w:hAnsi="Calibri" w:cs="Calibri"/>
      <w:sz w:val="22"/>
      <w:szCs w:val="22"/>
      <w:lang w:val="fr-FR" w:eastAsia="fr-FR"/>
    </w:rPr>
  </w:style>
  <w:style w:type="character" w:styleId="Emphasis">
    <w:name w:val="Emphasis"/>
    <w:qFormat/>
    <w:rsid w:val="002022AB"/>
    <w:rPr>
      <w:i/>
      <w:iCs/>
      <w:lang w:val="fr-FR" w:eastAsia="fr-FR"/>
    </w:rPr>
  </w:style>
  <w:style w:type="character" w:customStyle="1" w:styleId="WW8Num8z0">
    <w:name w:val="WW8Num8z0"/>
    <w:rsid w:val="002022AB"/>
    <w:rPr>
      <w:rFonts w:ascii="Symbol" w:hAnsi="Symbol" w:cs="Symbol"/>
      <w:lang w:val="fr-FR" w:eastAsia="fr-FR"/>
    </w:rPr>
  </w:style>
  <w:style w:type="paragraph" w:customStyle="1" w:styleId="Bullet0">
    <w:name w:val="Bullet 0"/>
    <w:basedOn w:val="Normal"/>
    <w:rsid w:val="002022AB"/>
    <w:pPr>
      <w:numPr>
        <w:numId w:val="30"/>
      </w:numPr>
      <w:spacing w:before="120" w:after="120"/>
      <w:jc w:val="both"/>
    </w:pPr>
    <w:rPr>
      <w:noProof w:val="0"/>
      <w:szCs w:val="24"/>
      <w:lang w:val="fr-FR" w:eastAsia="fr-FR"/>
    </w:rPr>
  </w:style>
  <w:style w:type="numbering" w:styleId="111111">
    <w:name w:val="Outline List 2"/>
    <w:basedOn w:val="NoList"/>
    <w:rsid w:val="002022AB"/>
    <w:pPr>
      <w:numPr>
        <w:numId w:val="27"/>
      </w:numPr>
    </w:pPr>
  </w:style>
  <w:style w:type="numbering" w:styleId="1ai">
    <w:name w:val="Outline List 1"/>
    <w:basedOn w:val="NoList"/>
    <w:rsid w:val="002022AB"/>
    <w:pPr>
      <w:numPr>
        <w:numId w:val="28"/>
      </w:numPr>
    </w:pPr>
  </w:style>
  <w:style w:type="numbering" w:styleId="ArticleSection">
    <w:name w:val="Outline List 3"/>
    <w:basedOn w:val="NoList"/>
    <w:rsid w:val="002022AB"/>
    <w:pPr>
      <w:numPr>
        <w:numId w:val="29"/>
      </w:numPr>
    </w:pPr>
  </w:style>
  <w:style w:type="paragraph" w:styleId="BlockText">
    <w:name w:val="Block Text"/>
    <w:basedOn w:val="Normal"/>
    <w:rsid w:val="002022AB"/>
    <w:pPr>
      <w:widowControl w:val="0"/>
      <w:spacing w:after="120" w:line="360" w:lineRule="auto"/>
      <w:ind w:left="1440" w:right="1440"/>
    </w:pPr>
    <w:rPr>
      <w:noProof w:val="0"/>
      <w:szCs w:val="24"/>
      <w:lang w:val="fr-FR" w:eastAsia="fr-FR"/>
    </w:rPr>
  </w:style>
  <w:style w:type="paragraph" w:styleId="BodyText">
    <w:name w:val="Body Text"/>
    <w:basedOn w:val="Normal"/>
    <w:link w:val="BodyTextChar"/>
    <w:rsid w:val="002022AB"/>
    <w:pPr>
      <w:widowControl w:val="0"/>
      <w:spacing w:after="120" w:line="360" w:lineRule="auto"/>
    </w:pPr>
    <w:rPr>
      <w:noProof w:val="0"/>
      <w:szCs w:val="24"/>
      <w:lang w:val="fr-FR" w:eastAsia="fr-FR"/>
    </w:rPr>
  </w:style>
  <w:style w:type="character" w:customStyle="1" w:styleId="BodyTextChar">
    <w:name w:val="Body Text Char"/>
    <w:link w:val="BodyText"/>
    <w:rsid w:val="002022AB"/>
    <w:rPr>
      <w:sz w:val="24"/>
      <w:szCs w:val="24"/>
    </w:rPr>
  </w:style>
  <w:style w:type="paragraph" w:styleId="BodyText2">
    <w:name w:val="Body Text 2"/>
    <w:basedOn w:val="Normal"/>
    <w:link w:val="BodyText2Char"/>
    <w:rsid w:val="002022AB"/>
    <w:pPr>
      <w:widowControl w:val="0"/>
      <w:spacing w:after="120" w:line="480" w:lineRule="auto"/>
    </w:pPr>
    <w:rPr>
      <w:noProof w:val="0"/>
      <w:szCs w:val="24"/>
      <w:lang w:val="fr-FR" w:eastAsia="fr-FR"/>
    </w:rPr>
  </w:style>
  <w:style w:type="character" w:customStyle="1" w:styleId="BodyText2Char">
    <w:name w:val="Body Text 2 Char"/>
    <w:link w:val="BodyText2"/>
    <w:rsid w:val="002022AB"/>
    <w:rPr>
      <w:sz w:val="24"/>
      <w:szCs w:val="24"/>
    </w:rPr>
  </w:style>
  <w:style w:type="paragraph" w:styleId="BodyText3">
    <w:name w:val="Body Text 3"/>
    <w:basedOn w:val="Normal"/>
    <w:link w:val="BodyText3Char"/>
    <w:rsid w:val="002022AB"/>
    <w:pPr>
      <w:widowControl w:val="0"/>
      <w:spacing w:after="120" w:line="360" w:lineRule="auto"/>
    </w:pPr>
    <w:rPr>
      <w:noProof w:val="0"/>
      <w:sz w:val="16"/>
      <w:szCs w:val="16"/>
      <w:lang w:val="fr-FR" w:eastAsia="fr-FR"/>
    </w:rPr>
  </w:style>
  <w:style w:type="character" w:customStyle="1" w:styleId="BodyText3Char">
    <w:name w:val="Body Text 3 Char"/>
    <w:link w:val="BodyText3"/>
    <w:rsid w:val="002022AB"/>
    <w:rPr>
      <w:sz w:val="16"/>
      <w:szCs w:val="16"/>
    </w:rPr>
  </w:style>
  <w:style w:type="paragraph" w:styleId="BodyTextFirstIndent">
    <w:name w:val="Body Text First Indent"/>
    <w:basedOn w:val="BodyText"/>
    <w:link w:val="BodyTextFirstIndentChar"/>
    <w:rsid w:val="002022AB"/>
    <w:pPr>
      <w:ind w:firstLine="210"/>
    </w:pPr>
  </w:style>
  <w:style w:type="character" w:customStyle="1" w:styleId="BodyTextFirstIndentChar">
    <w:name w:val="Body Text First Indent Char"/>
    <w:basedOn w:val="BodyTextChar"/>
    <w:link w:val="BodyTextFirstIndent"/>
    <w:rsid w:val="002022AB"/>
    <w:rPr>
      <w:sz w:val="24"/>
      <w:szCs w:val="24"/>
    </w:rPr>
  </w:style>
  <w:style w:type="paragraph" w:styleId="BodyTextIndent">
    <w:name w:val="Body Text Indent"/>
    <w:basedOn w:val="Normal"/>
    <w:link w:val="BodyTextIndentChar"/>
    <w:rsid w:val="002022AB"/>
    <w:pPr>
      <w:widowControl w:val="0"/>
      <w:spacing w:after="120" w:line="360" w:lineRule="auto"/>
      <w:ind w:left="283"/>
    </w:pPr>
    <w:rPr>
      <w:noProof w:val="0"/>
      <w:szCs w:val="24"/>
      <w:lang w:val="fr-FR" w:eastAsia="fr-FR"/>
    </w:rPr>
  </w:style>
  <w:style w:type="character" w:customStyle="1" w:styleId="BodyTextIndentChar">
    <w:name w:val="Body Text Indent Char"/>
    <w:link w:val="BodyTextIndent"/>
    <w:rsid w:val="002022AB"/>
    <w:rPr>
      <w:sz w:val="24"/>
      <w:szCs w:val="24"/>
    </w:rPr>
  </w:style>
  <w:style w:type="paragraph" w:styleId="BodyTextFirstIndent2">
    <w:name w:val="Body Text First Indent 2"/>
    <w:basedOn w:val="BodyTextIndent"/>
    <w:link w:val="BodyTextFirstIndent2Char"/>
    <w:rsid w:val="002022AB"/>
    <w:pPr>
      <w:ind w:firstLine="210"/>
    </w:pPr>
  </w:style>
  <w:style w:type="character" w:customStyle="1" w:styleId="BodyTextFirstIndent2Char">
    <w:name w:val="Body Text First Indent 2 Char"/>
    <w:basedOn w:val="BodyTextIndentChar"/>
    <w:link w:val="BodyTextFirstIndent2"/>
    <w:rsid w:val="002022AB"/>
    <w:rPr>
      <w:sz w:val="24"/>
      <w:szCs w:val="24"/>
    </w:rPr>
  </w:style>
  <w:style w:type="paragraph" w:styleId="BodyTextIndent2">
    <w:name w:val="Body Text Indent 2"/>
    <w:basedOn w:val="Normal"/>
    <w:link w:val="BodyTextIndent2Char"/>
    <w:rsid w:val="002022AB"/>
    <w:pPr>
      <w:widowControl w:val="0"/>
      <w:spacing w:after="120" w:line="480" w:lineRule="auto"/>
      <w:ind w:left="283"/>
    </w:pPr>
    <w:rPr>
      <w:noProof w:val="0"/>
      <w:szCs w:val="24"/>
      <w:lang w:val="fr-FR" w:eastAsia="fr-FR"/>
    </w:rPr>
  </w:style>
  <w:style w:type="character" w:customStyle="1" w:styleId="BodyTextIndent2Char">
    <w:name w:val="Body Text Indent 2 Char"/>
    <w:link w:val="BodyTextIndent2"/>
    <w:rsid w:val="002022AB"/>
    <w:rPr>
      <w:sz w:val="24"/>
      <w:szCs w:val="24"/>
    </w:rPr>
  </w:style>
  <w:style w:type="paragraph" w:styleId="BodyTextIndent3">
    <w:name w:val="Body Text Indent 3"/>
    <w:basedOn w:val="Normal"/>
    <w:link w:val="BodyTextIndent3Char"/>
    <w:rsid w:val="002022AB"/>
    <w:pPr>
      <w:widowControl w:val="0"/>
      <w:spacing w:after="120" w:line="360" w:lineRule="auto"/>
      <w:ind w:left="283"/>
    </w:pPr>
    <w:rPr>
      <w:noProof w:val="0"/>
      <w:sz w:val="16"/>
      <w:szCs w:val="16"/>
      <w:lang w:val="fr-FR" w:eastAsia="fr-FR"/>
    </w:rPr>
  </w:style>
  <w:style w:type="character" w:customStyle="1" w:styleId="BodyTextIndent3Char">
    <w:name w:val="Body Text Indent 3 Char"/>
    <w:link w:val="BodyTextIndent3"/>
    <w:rsid w:val="002022AB"/>
    <w:rPr>
      <w:sz w:val="16"/>
      <w:szCs w:val="16"/>
    </w:rPr>
  </w:style>
  <w:style w:type="paragraph" w:styleId="Caption">
    <w:name w:val="caption"/>
    <w:basedOn w:val="Normal"/>
    <w:next w:val="Normal"/>
    <w:qFormat/>
    <w:rsid w:val="002022AB"/>
    <w:pPr>
      <w:widowControl w:val="0"/>
      <w:spacing w:before="120" w:after="120" w:line="360" w:lineRule="auto"/>
    </w:pPr>
    <w:rPr>
      <w:b/>
      <w:bCs/>
      <w:noProof w:val="0"/>
      <w:sz w:val="20"/>
      <w:lang w:val="fr-FR" w:eastAsia="fr-FR"/>
    </w:rPr>
  </w:style>
  <w:style w:type="paragraph" w:styleId="Closing">
    <w:name w:val="Closing"/>
    <w:basedOn w:val="Normal"/>
    <w:link w:val="ClosingChar"/>
    <w:rsid w:val="002022AB"/>
    <w:pPr>
      <w:widowControl w:val="0"/>
      <w:spacing w:line="360" w:lineRule="auto"/>
      <w:ind w:left="4252"/>
    </w:pPr>
    <w:rPr>
      <w:noProof w:val="0"/>
      <w:szCs w:val="24"/>
      <w:lang w:val="fr-FR" w:eastAsia="fr-FR"/>
    </w:rPr>
  </w:style>
  <w:style w:type="character" w:customStyle="1" w:styleId="ClosingChar">
    <w:name w:val="Closing Char"/>
    <w:link w:val="Closing"/>
    <w:rsid w:val="002022AB"/>
    <w:rPr>
      <w:sz w:val="24"/>
      <w:szCs w:val="24"/>
    </w:rPr>
  </w:style>
  <w:style w:type="paragraph" w:styleId="Date">
    <w:name w:val="Date"/>
    <w:basedOn w:val="Normal"/>
    <w:next w:val="Normal"/>
    <w:link w:val="DateChar"/>
    <w:rsid w:val="002022AB"/>
    <w:pPr>
      <w:widowControl w:val="0"/>
      <w:spacing w:line="360" w:lineRule="auto"/>
    </w:pPr>
    <w:rPr>
      <w:noProof w:val="0"/>
      <w:szCs w:val="24"/>
      <w:lang w:val="fr-FR" w:eastAsia="fr-FR"/>
    </w:rPr>
  </w:style>
  <w:style w:type="character" w:customStyle="1" w:styleId="DateChar">
    <w:name w:val="Date Char"/>
    <w:link w:val="Date"/>
    <w:rsid w:val="002022AB"/>
    <w:rPr>
      <w:sz w:val="24"/>
      <w:szCs w:val="24"/>
    </w:rPr>
  </w:style>
  <w:style w:type="paragraph" w:styleId="E-mailSignature">
    <w:name w:val="E-mail Signature"/>
    <w:basedOn w:val="Normal"/>
    <w:link w:val="E-mailSignatureChar"/>
    <w:rsid w:val="002022AB"/>
    <w:pPr>
      <w:widowControl w:val="0"/>
      <w:spacing w:line="360" w:lineRule="auto"/>
    </w:pPr>
    <w:rPr>
      <w:noProof w:val="0"/>
      <w:szCs w:val="24"/>
      <w:lang w:val="fr-FR" w:eastAsia="fr-FR"/>
    </w:rPr>
  </w:style>
  <w:style w:type="character" w:customStyle="1" w:styleId="E-mailSignatureChar">
    <w:name w:val="E-mail Signature Char"/>
    <w:link w:val="E-mailSignature"/>
    <w:rsid w:val="002022AB"/>
    <w:rPr>
      <w:sz w:val="24"/>
      <w:szCs w:val="24"/>
    </w:rPr>
  </w:style>
  <w:style w:type="paragraph" w:styleId="EnvelopeAddress">
    <w:name w:val="envelope address"/>
    <w:basedOn w:val="Normal"/>
    <w:rsid w:val="002022AB"/>
    <w:pPr>
      <w:framePr w:w="7920" w:h="1980" w:hRule="exact" w:hSpace="180" w:wrap="auto" w:hAnchor="page" w:xAlign="center" w:yAlign="bottom"/>
      <w:widowControl w:val="0"/>
      <w:spacing w:line="360" w:lineRule="auto"/>
      <w:ind w:left="2880"/>
    </w:pPr>
    <w:rPr>
      <w:rFonts w:ascii="Arial" w:hAnsi="Arial" w:cs="Arial"/>
      <w:noProof w:val="0"/>
      <w:szCs w:val="24"/>
      <w:lang w:val="fr-FR" w:eastAsia="fr-FR"/>
    </w:rPr>
  </w:style>
  <w:style w:type="paragraph" w:styleId="EnvelopeReturn">
    <w:name w:val="envelope return"/>
    <w:basedOn w:val="Normal"/>
    <w:rsid w:val="002022AB"/>
    <w:pPr>
      <w:widowControl w:val="0"/>
      <w:spacing w:line="360" w:lineRule="auto"/>
    </w:pPr>
    <w:rPr>
      <w:rFonts w:ascii="Arial" w:hAnsi="Arial" w:cs="Arial"/>
      <w:noProof w:val="0"/>
      <w:sz w:val="20"/>
      <w:lang w:val="fr-FR" w:eastAsia="fr-FR"/>
    </w:rPr>
  </w:style>
  <w:style w:type="character" w:styleId="FollowedHyperlink">
    <w:name w:val="FollowedHyperlink"/>
    <w:rsid w:val="002022AB"/>
    <w:rPr>
      <w:color w:val="606420"/>
      <w:u w:val="single"/>
      <w:lang w:val="fr-FR" w:eastAsia="fr-FR"/>
    </w:rPr>
  </w:style>
  <w:style w:type="character" w:styleId="HTMLAcronym">
    <w:name w:val="HTML Acronym"/>
    <w:rsid w:val="002022AB"/>
  </w:style>
  <w:style w:type="paragraph" w:styleId="HTMLAddress">
    <w:name w:val="HTML Address"/>
    <w:basedOn w:val="Normal"/>
    <w:link w:val="HTMLAddressChar"/>
    <w:rsid w:val="002022AB"/>
    <w:pPr>
      <w:widowControl w:val="0"/>
      <w:spacing w:line="360" w:lineRule="auto"/>
    </w:pPr>
    <w:rPr>
      <w:i/>
      <w:iCs/>
      <w:noProof w:val="0"/>
      <w:szCs w:val="24"/>
      <w:lang w:val="fr-FR" w:eastAsia="fr-FR"/>
    </w:rPr>
  </w:style>
  <w:style w:type="character" w:customStyle="1" w:styleId="HTMLAddressChar">
    <w:name w:val="HTML Address Char"/>
    <w:link w:val="HTMLAddress"/>
    <w:rsid w:val="002022AB"/>
    <w:rPr>
      <w:i/>
      <w:iCs/>
      <w:sz w:val="24"/>
      <w:szCs w:val="24"/>
    </w:rPr>
  </w:style>
  <w:style w:type="character" w:styleId="HTMLCite">
    <w:name w:val="HTML Cite"/>
    <w:rsid w:val="002022AB"/>
    <w:rPr>
      <w:i/>
      <w:iCs/>
      <w:lang w:val="fr-FR" w:eastAsia="fr-FR"/>
    </w:rPr>
  </w:style>
  <w:style w:type="character" w:styleId="HTMLCode">
    <w:name w:val="HTML Code"/>
    <w:rsid w:val="002022AB"/>
    <w:rPr>
      <w:rFonts w:ascii="Courier New" w:hAnsi="Courier New" w:cs="Courier New"/>
      <w:sz w:val="20"/>
      <w:szCs w:val="20"/>
      <w:lang w:val="fr-FR" w:eastAsia="fr-FR"/>
    </w:rPr>
  </w:style>
  <w:style w:type="character" w:styleId="HTMLDefinition">
    <w:name w:val="HTML Definition"/>
    <w:rsid w:val="002022AB"/>
    <w:rPr>
      <w:i/>
      <w:iCs/>
      <w:lang w:val="fr-FR" w:eastAsia="fr-FR"/>
    </w:rPr>
  </w:style>
  <w:style w:type="character" w:styleId="HTMLKeyboard">
    <w:name w:val="HTML Keyboard"/>
    <w:rsid w:val="002022AB"/>
    <w:rPr>
      <w:rFonts w:ascii="Courier New" w:hAnsi="Courier New" w:cs="Courier New"/>
      <w:sz w:val="20"/>
      <w:szCs w:val="20"/>
      <w:lang w:val="fr-FR" w:eastAsia="fr-FR"/>
    </w:rPr>
  </w:style>
  <w:style w:type="paragraph" w:styleId="HTMLPreformatted">
    <w:name w:val="HTML Preformatted"/>
    <w:basedOn w:val="Normal"/>
    <w:link w:val="HTMLPreformattedChar"/>
    <w:rsid w:val="002022AB"/>
    <w:pPr>
      <w:widowControl w:val="0"/>
      <w:spacing w:line="360" w:lineRule="auto"/>
    </w:pPr>
    <w:rPr>
      <w:rFonts w:ascii="Courier New" w:hAnsi="Courier New" w:cs="Courier New"/>
      <w:noProof w:val="0"/>
      <w:sz w:val="20"/>
      <w:lang w:val="fr-FR" w:eastAsia="fr-FR"/>
    </w:rPr>
  </w:style>
  <w:style w:type="character" w:customStyle="1" w:styleId="HTMLPreformattedChar">
    <w:name w:val="HTML Preformatted Char"/>
    <w:link w:val="HTMLPreformatted"/>
    <w:rsid w:val="002022AB"/>
    <w:rPr>
      <w:rFonts w:ascii="Courier New" w:hAnsi="Courier New" w:cs="Courier New"/>
    </w:rPr>
  </w:style>
  <w:style w:type="character" w:styleId="HTMLSample">
    <w:name w:val="HTML Sample"/>
    <w:rsid w:val="002022AB"/>
    <w:rPr>
      <w:rFonts w:ascii="Courier New" w:hAnsi="Courier New" w:cs="Courier New"/>
      <w:lang w:val="fr-FR" w:eastAsia="fr-FR"/>
    </w:rPr>
  </w:style>
  <w:style w:type="character" w:styleId="HTMLTypewriter">
    <w:name w:val="HTML Typewriter"/>
    <w:rsid w:val="002022AB"/>
    <w:rPr>
      <w:rFonts w:ascii="Courier New" w:hAnsi="Courier New" w:cs="Courier New"/>
      <w:sz w:val="20"/>
      <w:szCs w:val="20"/>
      <w:lang w:val="fr-FR" w:eastAsia="fr-FR"/>
    </w:rPr>
  </w:style>
  <w:style w:type="character" w:styleId="HTMLVariable">
    <w:name w:val="HTML Variable"/>
    <w:rsid w:val="002022AB"/>
    <w:rPr>
      <w:i/>
      <w:iCs/>
      <w:lang w:val="fr-FR" w:eastAsia="fr-FR"/>
    </w:rPr>
  </w:style>
  <w:style w:type="paragraph" w:styleId="Index1">
    <w:name w:val="index 1"/>
    <w:basedOn w:val="Normal"/>
    <w:next w:val="Normal"/>
    <w:autoRedefine/>
    <w:rsid w:val="002022AB"/>
    <w:pPr>
      <w:widowControl w:val="0"/>
      <w:spacing w:line="360" w:lineRule="auto"/>
      <w:ind w:left="240" w:hanging="240"/>
    </w:pPr>
    <w:rPr>
      <w:noProof w:val="0"/>
      <w:szCs w:val="24"/>
      <w:lang w:val="fr-FR" w:eastAsia="fr-FR"/>
    </w:rPr>
  </w:style>
  <w:style w:type="paragraph" w:styleId="Index2">
    <w:name w:val="index 2"/>
    <w:basedOn w:val="Normal"/>
    <w:next w:val="Normal"/>
    <w:autoRedefine/>
    <w:rsid w:val="002022AB"/>
    <w:pPr>
      <w:widowControl w:val="0"/>
      <w:spacing w:line="360" w:lineRule="auto"/>
      <w:ind w:left="480" w:hanging="240"/>
    </w:pPr>
    <w:rPr>
      <w:noProof w:val="0"/>
      <w:szCs w:val="24"/>
      <w:lang w:val="fr-FR" w:eastAsia="fr-FR"/>
    </w:rPr>
  </w:style>
  <w:style w:type="paragraph" w:styleId="Index3">
    <w:name w:val="index 3"/>
    <w:basedOn w:val="Normal"/>
    <w:next w:val="Normal"/>
    <w:autoRedefine/>
    <w:rsid w:val="002022AB"/>
    <w:pPr>
      <w:widowControl w:val="0"/>
      <w:spacing w:line="360" w:lineRule="auto"/>
      <w:ind w:left="720" w:hanging="240"/>
    </w:pPr>
    <w:rPr>
      <w:noProof w:val="0"/>
      <w:szCs w:val="24"/>
      <w:lang w:val="fr-FR" w:eastAsia="fr-FR"/>
    </w:rPr>
  </w:style>
  <w:style w:type="paragraph" w:styleId="Index4">
    <w:name w:val="index 4"/>
    <w:basedOn w:val="Normal"/>
    <w:next w:val="Normal"/>
    <w:autoRedefine/>
    <w:rsid w:val="002022AB"/>
    <w:pPr>
      <w:widowControl w:val="0"/>
      <w:spacing w:line="360" w:lineRule="auto"/>
      <w:ind w:left="960" w:hanging="240"/>
    </w:pPr>
    <w:rPr>
      <w:noProof w:val="0"/>
      <w:szCs w:val="24"/>
      <w:lang w:val="fr-FR" w:eastAsia="fr-FR"/>
    </w:rPr>
  </w:style>
  <w:style w:type="paragraph" w:styleId="Index5">
    <w:name w:val="index 5"/>
    <w:basedOn w:val="Normal"/>
    <w:next w:val="Normal"/>
    <w:autoRedefine/>
    <w:rsid w:val="002022AB"/>
    <w:pPr>
      <w:widowControl w:val="0"/>
      <w:spacing w:line="360" w:lineRule="auto"/>
      <w:ind w:left="1200" w:hanging="240"/>
    </w:pPr>
    <w:rPr>
      <w:noProof w:val="0"/>
      <w:szCs w:val="24"/>
      <w:lang w:val="fr-FR" w:eastAsia="fr-FR"/>
    </w:rPr>
  </w:style>
  <w:style w:type="paragraph" w:styleId="Index6">
    <w:name w:val="index 6"/>
    <w:basedOn w:val="Normal"/>
    <w:next w:val="Normal"/>
    <w:autoRedefine/>
    <w:rsid w:val="002022AB"/>
    <w:pPr>
      <w:widowControl w:val="0"/>
      <w:spacing w:line="360" w:lineRule="auto"/>
      <w:ind w:left="1440" w:hanging="240"/>
    </w:pPr>
    <w:rPr>
      <w:noProof w:val="0"/>
      <w:szCs w:val="24"/>
      <w:lang w:val="fr-FR" w:eastAsia="fr-FR"/>
    </w:rPr>
  </w:style>
  <w:style w:type="paragraph" w:styleId="Index7">
    <w:name w:val="index 7"/>
    <w:basedOn w:val="Normal"/>
    <w:next w:val="Normal"/>
    <w:autoRedefine/>
    <w:rsid w:val="002022AB"/>
    <w:pPr>
      <w:widowControl w:val="0"/>
      <w:spacing w:line="360" w:lineRule="auto"/>
      <w:ind w:left="1680" w:hanging="240"/>
    </w:pPr>
    <w:rPr>
      <w:noProof w:val="0"/>
      <w:szCs w:val="24"/>
      <w:lang w:val="fr-FR" w:eastAsia="fr-FR"/>
    </w:rPr>
  </w:style>
  <w:style w:type="paragraph" w:styleId="Index8">
    <w:name w:val="index 8"/>
    <w:basedOn w:val="Normal"/>
    <w:next w:val="Normal"/>
    <w:autoRedefine/>
    <w:rsid w:val="002022AB"/>
    <w:pPr>
      <w:widowControl w:val="0"/>
      <w:spacing w:line="360" w:lineRule="auto"/>
      <w:ind w:left="1920" w:hanging="240"/>
    </w:pPr>
    <w:rPr>
      <w:noProof w:val="0"/>
      <w:szCs w:val="24"/>
      <w:lang w:val="fr-FR" w:eastAsia="fr-FR"/>
    </w:rPr>
  </w:style>
  <w:style w:type="paragraph" w:styleId="Index9">
    <w:name w:val="index 9"/>
    <w:basedOn w:val="Normal"/>
    <w:next w:val="Normal"/>
    <w:autoRedefine/>
    <w:rsid w:val="002022AB"/>
    <w:pPr>
      <w:widowControl w:val="0"/>
      <w:spacing w:line="360" w:lineRule="auto"/>
      <w:ind w:left="2160" w:hanging="240"/>
    </w:pPr>
    <w:rPr>
      <w:noProof w:val="0"/>
      <w:szCs w:val="24"/>
      <w:lang w:val="fr-FR" w:eastAsia="fr-FR"/>
    </w:rPr>
  </w:style>
  <w:style w:type="paragraph" w:styleId="IndexHeading">
    <w:name w:val="index heading"/>
    <w:basedOn w:val="Normal"/>
    <w:next w:val="Index1"/>
    <w:rsid w:val="002022AB"/>
    <w:pPr>
      <w:widowControl w:val="0"/>
      <w:spacing w:line="360" w:lineRule="auto"/>
    </w:pPr>
    <w:rPr>
      <w:rFonts w:ascii="Arial" w:hAnsi="Arial" w:cs="Arial"/>
      <w:b/>
      <w:bCs/>
      <w:noProof w:val="0"/>
      <w:szCs w:val="24"/>
      <w:lang w:val="fr-FR" w:eastAsia="fr-FR"/>
    </w:rPr>
  </w:style>
  <w:style w:type="character" w:styleId="LineNumber">
    <w:name w:val="line number"/>
    <w:rsid w:val="002022AB"/>
  </w:style>
  <w:style w:type="paragraph" w:styleId="List">
    <w:name w:val="List"/>
    <w:basedOn w:val="Normal"/>
    <w:rsid w:val="002022AB"/>
    <w:pPr>
      <w:widowControl w:val="0"/>
      <w:spacing w:line="360" w:lineRule="auto"/>
      <w:ind w:left="283" w:hanging="283"/>
    </w:pPr>
    <w:rPr>
      <w:noProof w:val="0"/>
      <w:szCs w:val="24"/>
      <w:lang w:val="fr-FR" w:eastAsia="fr-FR"/>
    </w:rPr>
  </w:style>
  <w:style w:type="paragraph" w:styleId="List2">
    <w:name w:val="List 2"/>
    <w:basedOn w:val="Normal"/>
    <w:rsid w:val="002022AB"/>
    <w:pPr>
      <w:widowControl w:val="0"/>
      <w:spacing w:line="360" w:lineRule="auto"/>
      <w:ind w:left="566" w:hanging="283"/>
    </w:pPr>
    <w:rPr>
      <w:noProof w:val="0"/>
      <w:szCs w:val="24"/>
      <w:lang w:val="fr-FR" w:eastAsia="fr-FR"/>
    </w:rPr>
  </w:style>
  <w:style w:type="paragraph" w:styleId="List3">
    <w:name w:val="List 3"/>
    <w:basedOn w:val="Normal"/>
    <w:rsid w:val="002022AB"/>
    <w:pPr>
      <w:widowControl w:val="0"/>
      <w:spacing w:line="360" w:lineRule="auto"/>
      <w:ind w:left="849" w:hanging="283"/>
    </w:pPr>
    <w:rPr>
      <w:noProof w:val="0"/>
      <w:szCs w:val="24"/>
      <w:lang w:val="fr-FR" w:eastAsia="fr-FR"/>
    </w:rPr>
  </w:style>
  <w:style w:type="paragraph" w:styleId="List4">
    <w:name w:val="List 4"/>
    <w:basedOn w:val="Normal"/>
    <w:rsid w:val="002022AB"/>
    <w:pPr>
      <w:widowControl w:val="0"/>
      <w:spacing w:line="360" w:lineRule="auto"/>
      <w:ind w:left="1132" w:hanging="283"/>
    </w:pPr>
    <w:rPr>
      <w:noProof w:val="0"/>
      <w:szCs w:val="24"/>
      <w:lang w:val="fr-FR" w:eastAsia="fr-FR"/>
    </w:rPr>
  </w:style>
  <w:style w:type="paragraph" w:styleId="List5">
    <w:name w:val="List 5"/>
    <w:basedOn w:val="Normal"/>
    <w:rsid w:val="002022AB"/>
    <w:pPr>
      <w:widowControl w:val="0"/>
      <w:spacing w:line="360" w:lineRule="auto"/>
      <w:ind w:left="1415" w:hanging="283"/>
    </w:pPr>
    <w:rPr>
      <w:noProof w:val="0"/>
      <w:szCs w:val="24"/>
      <w:lang w:val="fr-FR" w:eastAsia="fr-FR"/>
    </w:rPr>
  </w:style>
  <w:style w:type="paragraph" w:styleId="ListBullet">
    <w:name w:val="List Bullet"/>
    <w:basedOn w:val="Normal"/>
    <w:autoRedefine/>
    <w:rsid w:val="002022AB"/>
    <w:pPr>
      <w:widowControl w:val="0"/>
      <w:tabs>
        <w:tab w:val="num" w:pos="360"/>
      </w:tabs>
      <w:spacing w:line="360" w:lineRule="auto"/>
      <w:ind w:left="360" w:hanging="360"/>
    </w:pPr>
    <w:rPr>
      <w:noProof w:val="0"/>
      <w:szCs w:val="24"/>
      <w:lang w:val="fr-FR" w:eastAsia="fr-FR"/>
    </w:rPr>
  </w:style>
  <w:style w:type="paragraph" w:styleId="ListBullet2">
    <w:name w:val="List Bullet 2"/>
    <w:basedOn w:val="Normal"/>
    <w:autoRedefine/>
    <w:rsid w:val="002022AB"/>
    <w:pPr>
      <w:widowControl w:val="0"/>
      <w:tabs>
        <w:tab w:val="num" w:pos="643"/>
      </w:tabs>
      <w:spacing w:line="360" w:lineRule="auto"/>
      <w:ind w:left="643" w:hanging="360"/>
    </w:pPr>
    <w:rPr>
      <w:noProof w:val="0"/>
      <w:szCs w:val="24"/>
      <w:lang w:val="fr-FR" w:eastAsia="fr-FR"/>
    </w:rPr>
  </w:style>
  <w:style w:type="paragraph" w:styleId="ListBullet3">
    <w:name w:val="List Bullet 3"/>
    <w:basedOn w:val="Normal"/>
    <w:autoRedefine/>
    <w:rsid w:val="002022AB"/>
    <w:pPr>
      <w:widowControl w:val="0"/>
      <w:tabs>
        <w:tab w:val="num" w:pos="926"/>
      </w:tabs>
      <w:spacing w:line="360" w:lineRule="auto"/>
      <w:ind w:left="926" w:hanging="360"/>
    </w:pPr>
    <w:rPr>
      <w:noProof w:val="0"/>
      <w:szCs w:val="24"/>
      <w:lang w:val="fr-FR" w:eastAsia="fr-FR"/>
    </w:rPr>
  </w:style>
  <w:style w:type="paragraph" w:styleId="ListBullet4">
    <w:name w:val="List Bullet 4"/>
    <w:basedOn w:val="Normal"/>
    <w:autoRedefine/>
    <w:rsid w:val="002022AB"/>
    <w:pPr>
      <w:widowControl w:val="0"/>
      <w:tabs>
        <w:tab w:val="num" w:pos="1209"/>
      </w:tabs>
      <w:spacing w:line="360" w:lineRule="auto"/>
      <w:ind w:left="1209" w:hanging="360"/>
    </w:pPr>
    <w:rPr>
      <w:noProof w:val="0"/>
      <w:szCs w:val="24"/>
      <w:lang w:val="fr-FR" w:eastAsia="fr-FR"/>
    </w:rPr>
  </w:style>
  <w:style w:type="paragraph" w:styleId="ListBullet5">
    <w:name w:val="List Bullet 5"/>
    <w:basedOn w:val="Normal"/>
    <w:autoRedefine/>
    <w:rsid w:val="002022AB"/>
    <w:pPr>
      <w:widowControl w:val="0"/>
      <w:tabs>
        <w:tab w:val="num" w:pos="1492"/>
      </w:tabs>
      <w:spacing w:line="360" w:lineRule="auto"/>
      <w:ind w:left="1492" w:hanging="360"/>
    </w:pPr>
    <w:rPr>
      <w:noProof w:val="0"/>
      <w:szCs w:val="24"/>
      <w:lang w:val="fr-FR" w:eastAsia="fr-FR"/>
    </w:rPr>
  </w:style>
  <w:style w:type="paragraph" w:styleId="ListContinue">
    <w:name w:val="List Continue"/>
    <w:basedOn w:val="Normal"/>
    <w:rsid w:val="002022AB"/>
    <w:pPr>
      <w:widowControl w:val="0"/>
      <w:spacing w:after="120" w:line="360" w:lineRule="auto"/>
      <w:ind w:left="283"/>
    </w:pPr>
    <w:rPr>
      <w:noProof w:val="0"/>
      <w:szCs w:val="24"/>
      <w:lang w:val="fr-FR" w:eastAsia="fr-FR"/>
    </w:rPr>
  </w:style>
  <w:style w:type="paragraph" w:styleId="ListContinue2">
    <w:name w:val="List Continue 2"/>
    <w:basedOn w:val="Normal"/>
    <w:rsid w:val="002022AB"/>
    <w:pPr>
      <w:widowControl w:val="0"/>
      <w:spacing w:after="120" w:line="360" w:lineRule="auto"/>
      <w:ind w:left="566"/>
    </w:pPr>
    <w:rPr>
      <w:noProof w:val="0"/>
      <w:szCs w:val="24"/>
      <w:lang w:val="fr-FR" w:eastAsia="fr-FR"/>
    </w:rPr>
  </w:style>
  <w:style w:type="paragraph" w:styleId="ListContinue3">
    <w:name w:val="List Continue 3"/>
    <w:basedOn w:val="Normal"/>
    <w:rsid w:val="002022AB"/>
    <w:pPr>
      <w:widowControl w:val="0"/>
      <w:spacing w:after="120" w:line="360" w:lineRule="auto"/>
      <w:ind w:left="849"/>
    </w:pPr>
    <w:rPr>
      <w:noProof w:val="0"/>
      <w:szCs w:val="24"/>
      <w:lang w:val="fr-FR" w:eastAsia="fr-FR"/>
    </w:rPr>
  </w:style>
  <w:style w:type="paragraph" w:styleId="ListContinue4">
    <w:name w:val="List Continue 4"/>
    <w:basedOn w:val="Normal"/>
    <w:rsid w:val="002022AB"/>
    <w:pPr>
      <w:widowControl w:val="0"/>
      <w:spacing w:after="120" w:line="360" w:lineRule="auto"/>
      <w:ind w:left="1132"/>
    </w:pPr>
    <w:rPr>
      <w:noProof w:val="0"/>
      <w:szCs w:val="24"/>
      <w:lang w:val="fr-FR" w:eastAsia="fr-FR"/>
    </w:rPr>
  </w:style>
  <w:style w:type="paragraph" w:styleId="ListContinue5">
    <w:name w:val="List Continue 5"/>
    <w:basedOn w:val="Normal"/>
    <w:rsid w:val="002022AB"/>
    <w:pPr>
      <w:widowControl w:val="0"/>
      <w:spacing w:after="120" w:line="360" w:lineRule="auto"/>
      <w:ind w:left="1415"/>
    </w:pPr>
    <w:rPr>
      <w:noProof w:val="0"/>
      <w:szCs w:val="24"/>
      <w:lang w:val="fr-FR" w:eastAsia="fr-FR"/>
    </w:rPr>
  </w:style>
  <w:style w:type="paragraph" w:styleId="ListNumber2">
    <w:name w:val="List Number 2"/>
    <w:basedOn w:val="Normal"/>
    <w:rsid w:val="002022AB"/>
    <w:pPr>
      <w:widowControl w:val="0"/>
      <w:tabs>
        <w:tab w:val="num" w:pos="643"/>
      </w:tabs>
      <w:spacing w:line="360" w:lineRule="auto"/>
      <w:ind w:left="643" w:hanging="360"/>
    </w:pPr>
    <w:rPr>
      <w:noProof w:val="0"/>
      <w:szCs w:val="24"/>
      <w:lang w:val="fr-FR" w:eastAsia="fr-FR"/>
    </w:rPr>
  </w:style>
  <w:style w:type="paragraph" w:styleId="ListNumber5">
    <w:name w:val="List Number 5"/>
    <w:basedOn w:val="Normal"/>
    <w:rsid w:val="002022AB"/>
    <w:pPr>
      <w:widowControl w:val="0"/>
      <w:tabs>
        <w:tab w:val="num" w:pos="1492"/>
      </w:tabs>
      <w:spacing w:line="360" w:lineRule="auto"/>
      <w:ind w:left="1492" w:hanging="360"/>
    </w:pPr>
    <w:rPr>
      <w:noProof w:val="0"/>
      <w:szCs w:val="24"/>
      <w:lang w:val="fr-FR" w:eastAsia="fr-FR"/>
    </w:rPr>
  </w:style>
  <w:style w:type="paragraph" w:styleId="MacroText">
    <w:name w:val="macro"/>
    <w:link w:val="MacroTextChar"/>
    <w:rsid w:val="002022AB"/>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lang w:val="fr-FR" w:eastAsia="fr-FR"/>
    </w:rPr>
  </w:style>
  <w:style w:type="character" w:customStyle="1" w:styleId="MacroTextChar">
    <w:name w:val="Macro Text Char"/>
    <w:link w:val="MacroText"/>
    <w:rsid w:val="002022AB"/>
    <w:rPr>
      <w:rFonts w:ascii="Courier New" w:hAnsi="Courier New" w:cs="Courier New"/>
    </w:rPr>
  </w:style>
  <w:style w:type="paragraph" w:styleId="MessageHeader">
    <w:name w:val="Message Header"/>
    <w:basedOn w:val="Normal"/>
    <w:link w:val="MessageHeaderChar"/>
    <w:rsid w:val="002022AB"/>
    <w:pPr>
      <w:widowControl w:val="0"/>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rFonts w:ascii="Arial" w:hAnsi="Arial" w:cs="Arial"/>
      <w:noProof w:val="0"/>
      <w:szCs w:val="24"/>
      <w:lang w:val="fr-FR" w:eastAsia="fr-FR"/>
    </w:rPr>
  </w:style>
  <w:style w:type="character" w:customStyle="1" w:styleId="MessageHeaderChar">
    <w:name w:val="Message Header Char"/>
    <w:link w:val="MessageHeader"/>
    <w:rsid w:val="002022AB"/>
    <w:rPr>
      <w:rFonts w:ascii="Arial" w:hAnsi="Arial" w:cs="Arial"/>
      <w:sz w:val="24"/>
      <w:szCs w:val="24"/>
      <w:shd w:val="pct20" w:color="auto" w:fill="auto"/>
    </w:rPr>
  </w:style>
  <w:style w:type="paragraph" w:styleId="NormalIndent">
    <w:name w:val="Normal Indent"/>
    <w:basedOn w:val="Normal"/>
    <w:rsid w:val="002022AB"/>
    <w:pPr>
      <w:widowControl w:val="0"/>
      <w:spacing w:line="360" w:lineRule="auto"/>
      <w:ind w:left="708"/>
    </w:pPr>
    <w:rPr>
      <w:noProof w:val="0"/>
      <w:szCs w:val="24"/>
      <w:lang w:val="fr-FR" w:eastAsia="fr-FR"/>
    </w:rPr>
  </w:style>
  <w:style w:type="paragraph" w:styleId="NoteHeading">
    <w:name w:val="Note Heading"/>
    <w:basedOn w:val="Normal"/>
    <w:next w:val="Normal"/>
    <w:link w:val="NoteHeadingChar"/>
    <w:rsid w:val="002022AB"/>
    <w:pPr>
      <w:widowControl w:val="0"/>
      <w:spacing w:line="360" w:lineRule="auto"/>
    </w:pPr>
    <w:rPr>
      <w:noProof w:val="0"/>
      <w:szCs w:val="24"/>
      <w:lang w:val="fr-FR" w:eastAsia="fr-FR"/>
    </w:rPr>
  </w:style>
  <w:style w:type="character" w:customStyle="1" w:styleId="NoteHeadingChar">
    <w:name w:val="Note Heading Char"/>
    <w:link w:val="NoteHeading"/>
    <w:rsid w:val="002022AB"/>
    <w:rPr>
      <w:sz w:val="24"/>
      <w:szCs w:val="24"/>
    </w:rPr>
  </w:style>
  <w:style w:type="paragraph" w:styleId="PlainText">
    <w:name w:val="Plain Text"/>
    <w:basedOn w:val="Normal"/>
    <w:link w:val="PlainTextChar"/>
    <w:rsid w:val="002022AB"/>
    <w:pPr>
      <w:widowControl w:val="0"/>
      <w:spacing w:line="360" w:lineRule="auto"/>
    </w:pPr>
    <w:rPr>
      <w:rFonts w:ascii="Courier New" w:hAnsi="Courier New" w:cs="Courier New"/>
      <w:noProof w:val="0"/>
      <w:sz w:val="20"/>
      <w:lang w:val="fr-FR" w:eastAsia="fr-FR"/>
    </w:rPr>
  </w:style>
  <w:style w:type="character" w:customStyle="1" w:styleId="PlainTextChar">
    <w:name w:val="Plain Text Char"/>
    <w:link w:val="PlainText"/>
    <w:rsid w:val="002022AB"/>
    <w:rPr>
      <w:rFonts w:ascii="Courier New" w:hAnsi="Courier New" w:cs="Courier New"/>
    </w:rPr>
  </w:style>
  <w:style w:type="paragraph" w:styleId="Salutation">
    <w:name w:val="Salutation"/>
    <w:basedOn w:val="Normal"/>
    <w:next w:val="Normal"/>
    <w:link w:val="SalutationChar"/>
    <w:rsid w:val="002022AB"/>
    <w:pPr>
      <w:widowControl w:val="0"/>
      <w:spacing w:line="360" w:lineRule="auto"/>
    </w:pPr>
    <w:rPr>
      <w:noProof w:val="0"/>
      <w:szCs w:val="24"/>
      <w:lang w:val="fr-FR" w:eastAsia="fr-FR"/>
    </w:rPr>
  </w:style>
  <w:style w:type="character" w:customStyle="1" w:styleId="SalutationChar">
    <w:name w:val="Salutation Char"/>
    <w:link w:val="Salutation"/>
    <w:rsid w:val="002022AB"/>
    <w:rPr>
      <w:sz w:val="24"/>
      <w:szCs w:val="24"/>
    </w:rPr>
  </w:style>
  <w:style w:type="paragraph" w:styleId="Signature">
    <w:name w:val="Signature"/>
    <w:basedOn w:val="Normal"/>
    <w:link w:val="SignatureChar"/>
    <w:rsid w:val="002022AB"/>
    <w:pPr>
      <w:widowControl w:val="0"/>
      <w:spacing w:line="360" w:lineRule="auto"/>
      <w:ind w:left="4252"/>
    </w:pPr>
    <w:rPr>
      <w:noProof w:val="0"/>
      <w:szCs w:val="24"/>
      <w:lang w:val="fr-FR" w:eastAsia="fr-FR"/>
    </w:rPr>
  </w:style>
  <w:style w:type="character" w:customStyle="1" w:styleId="SignatureChar">
    <w:name w:val="Signature Char"/>
    <w:link w:val="Signature"/>
    <w:rsid w:val="002022AB"/>
    <w:rPr>
      <w:sz w:val="24"/>
      <w:szCs w:val="24"/>
    </w:rPr>
  </w:style>
  <w:style w:type="character" w:styleId="Strong">
    <w:name w:val="Strong"/>
    <w:qFormat/>
    <w:rsid w:val="002022AB"/>
    <w:rPr>
      <w:b/>
      <w:bCs/>
      <w:lang w:val="fr-FR" w:eastAsia="fr-FR"/>
    </w:rPr>
  </w:style>
  <w:style w:type="paragraph" w:styleId="Subtitle">
    <w:name w:val="Subtitle"/>
    <w:basedOn w:val="Normal"/>
    <w:link w:val="SubtitleChar"/>
    <w:qFormat/>
    <w:rsid w:val="002022AB"/>
    <w:pPr>
      <w:widowControl w:val="0"/>
      <w:spacing w:after="60" w:line="360" w:lineRule="auto"/>
      <w:jc w:val="center"/>
      <w:outlineLvl w:val="1"/>
    </w:pPr>
    <w:rPr>
      <w:rFonts w:ascii="Arial" w:hAnsi="Arial" w:cs="Arial"/>
      <w:noProof w:val="0"/>
      <w:szCs w:val="24"/>
      <w:lang w:val="fr-FR" w:eastAsia="fr-FR"/>
    </w:rPr>
  </w:style>
  <w:style w:type="character" w:customStyle="1" w:styleId="SubtitleChar">
    <w:name w:val="Subtitle Char"/>
    <w:link w:val="Subtitle"/>
    <w:rsid w:val="002022AB"/>
    <w:rPr>
      <w:rFonts w:ascii="Arial" w:hAnsi="Arial" w:cs="Arial"/>
      <w:sz w:val="24"/>
      <w:szCs w:val="24"/>
    </w:rPr>
  </w:style>
  <w:style w:type="table" w:styleId="Table3Deffects1">
    <w:name w:val="Table 3D effects 1"/>
    <w:basedOn w:val="TableNormal"/>
    <w:rsid w:val="002022AB"/>
    <w:pPr>
      <w:widowControl w:val="0"/>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22AB"/>
    <w:pPr>
      <w:widowControl w:val="0"/>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22AB"/>
    <w:pPr>
      <w:widowControl w:val="0"/>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22AB"/>
    <w:pPr>
      <w:widowControl w:val="0"/>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22AB"/>
    <w:pPr>
      <w:widowControl w:val="0"/>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22AB"/>
    <w:pPr>
      <w:widowControl w:val="0"/>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22AB"/>
    <w:pPr>
      <w:widowControl w:val="0"/>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22AB"/>
    <w:pPr>
      <w:widowControl w:val="0"/>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22AB"/>
    <w:pPr>
      <w:widowControl w:val="0"/>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22AB"/>
    <w:pPr>
      <w:widowControl w:val="0"/>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22AB"/>
    <w:pPr>
      <w:widowControl w:val="0"/>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22AB"/>
    <w:pPr>
      <w:widowControl w:val="0"/>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22AB"/>
    <w:pPr>
      <w:widowControl w:val="0"/>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22AB"/>
    <w:pPr>
      <w:widowControl w:val="0"/>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22AB"/>
    <w:pPr>
      <w:widowControl w:val="0"/>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22AB"/>
    <w:pPr>
      <w:widowControl w:val="0"/>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22AB"/>
    <w:pPr>
      <w:widowControl w:val="0"/>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022AB"/>
    <w:pPr>
      <w:widowControl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2022AB"/>
    <w:pPr>
      <w:widowControl w:val="0"/>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22AB"/>
    <w:pPr>
      <w:widowControl w:val="0"/>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22AB"/>
    <w:pPr>
      <w:widowControl w:val="0"/>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22AB"/>
    <w:pPr>
      <w:widowControl w:val="0"/>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22AB"/>
    <w:pPr>
      <w:widowControl w:val="0"/>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22AB"/>
    <w:pPr>
      <w:widowControl w:val="0"/>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22AB"/>
    <w:pPr>
      <w:widowControl w:val="0"/>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22AB"/>
    <w:pPr>
      <w:widowControl w:val="0"/>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22AB"/>
    <w:pPr>
      <w:widowControl w:val="0"/>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22AB"/>
    <w:pPr>
      <w:widowControl w:val="0"/>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22AB"/>
    <w:pPr>
      <w:widowControl w:val="0"/>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22AB"/>
    <w:pPr>
      <w:widowControl w:val="0"/>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22AB"/>
    <w:pPr>
      <w:widowControl w:val="0"/>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2022AB"/>
    <w:pPr>
      <w:widowControl w:val="0"/>
      <w:spacing w:line="360" w:lineRule="auto"/>
      <w:ind w:left="240" w:hanging="240"/>
    </w:pPr>
    <w:rPr>
      <w:noProof w:val="0"/>
      <w:szCs w:val="24"/>
      <w:lang w:val="fr-FR" w:eastAsia="fr-FR"/>
    </w:rPr>
  </w:style>
  <w:style w:type="paragraph" w:styleId="TableofFigures">
    <w:name w:val="table of figures"/>
    <w:basedOn w:val="Normal"/>
    <w:next w:val="Normal"/>
    <w:rsid w:val="002022AB"/>
    <w:pPr>
      <w:widowControl w:val="0"/>
      <w:spacing w:line="360" w:lineRule="auto"/>
      <w:ind w:left="480" w:hanging="480"/>
    </w:pPr>
    <w:rPr>
      <w:noProof w:val="0"/>
      <w:szCs w:val="24"/>
      <w:lang w:val="fr-FR" w:eastAsia="fr-FR"/>
    </w:rPr>
  </w:style>
  <w:style w:type="table" w:styleId="TableProfessional">
    <w:name w:val="Table Professional"/>
    <w:basedOn w:val="TableNormal"/>
    <w:rsid w:val="002022AB"/>
    <w:pPr>
      <w:widowControl w:val="0"/>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22AB"/>
    <w:pPr>
      <w:widowControl w:val="0"/>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22AB"/>
    <w:pPr>
      <w:widowControl w:val="0"/>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22AB"/>
    <w:pPr>
      <w:widowControl w:val="0"/>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22AB"/>
    <w:pPr>
      <w:widowControl w:val="0"/>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22AB"/>
    <w:pPr>
      <w:widowControl w:val="0"/>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22AB"/>
    <w:pPr>
      <w:widowControl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022AB"/>
    <w:pPr>
      <w:widowControl w:val="0"/>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22AB"/>
    <w:pPr>
      <w:widowControl w:val="0"/>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22AB"/>
    <w:pPr>
      <w:widowControl w:val="0"/>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2022AB"/>
    <w:pPr>
      <w:widowControl w:val="0"/>
      <w:spacing w:before="120" w:line="360" w:lineRule="auto"/>
    </w:pPr>
    <w:rPr>
      <w:rFonts w:ascii="Arial" w:hAnsi="Arial" w:cs="Arial"/>
      <w:b/>
      <w:bCs/>
      <w:noProof w:val="0"/>
      <w:szCs w:val="24"/>
      <w:lang w:val="fr-FR" w:eastAsia="fr-FR"/>
    </w:rPr>
  </w:style>
  <w:style w:type="paragraph" w:customStyle="1" w:styleId="Text1">
    <w:name w:val="Text 1"/>
    <w:basedOn w:val="Normal"/>
    <w:rsid w:val="002022AB"/>
    <w:pPr>
      <w:spacing w:before="120" w:after="120"/>
      <w:ind w:left="850"/>
      <w:jc w:val="both"/>
    </w:pPr>
    <w:rPr>
      <w:noProof w:val="0"/>
      <w:szCs w:val="24"/>
      <w:lang w:val="fr-FR" w:eastAsia="fr-FR" w:bidi="fr-FR"/>
    </w:rPr>
  </w:style>
  <w:style w:type="paragraph" w:customStyle="1" w:styleId="Point1">
    <w:name w:val="Point 1"/>
    <w:basedOn w:val="Normal"/>
    <w:rsid w:val="002022AB"/>
    <w:pPr>
      <w:spacing w:before="120" w:after="120"/>
      <w:ind w:left="1417" w:hanging="567"/>
      <w:jc w:val="both"/>
    </w:pPr>
    <w:rPr>
      <w:noProof w:val="0"/>
      <w:szCs w:val="24"/>
      <w:lang w:val="fr-FR" w:eastAsia="fr-FR" w:bidi="fr-FR"/>
    </w:rPr>
  </w:style>
  <w:style w:type="paragraph" w:customStyle="1" w:styleId="Dash4">
    <w:name w:val="Dash 4"/>
    <w:basedOn w:val="Normal"/>
    <w:rsid w:val="002022AB"/>
    <w:pPr>
      <w:numPr>
        <w:numId w:val="31"/>
      </w:numPr>
      <w:tabs>
        <w:tab w:val="num" w:pos="2835"/>
      </w:tabs>
      <w:spacing w:before="120" w:after="120" w:line="360" w:lineRule="auto"/>
      <w:ind w:left="2835"/>
      <w:outlineLvl w:val="3"/>
    </w:pPr>
    <w:rPr>
      <w:noProof w:val="0"/>
      <w:szCs w:val="24"/>
      <w:lang w:val="fr-FR" w:eastAsia="fr-FR" w:bidi="fr-FR"/>
    </w:rPr>
  </w:style>
  <w:style w:type="character" w:customStyle="1" w:styleId="DeltaViewDeletion">
    <w:name w:val="DeltaView Deletion"/>
    <w:uiPriority w:val="99"/>
    <w:rsid w:val="002022AB"/>
    <w:rPr>
      <w:strike/>
      <w:color w:val="000000"/>
    </w:rPr>
  </w:style>
  <w:style w:type="paragraph" w:customStyle="1" w:styleId="CM1">
    <w:name w:val="CM1"/>
    <w:basedOn w:val="Default"/>
    <w:next w:val="Default"/>
    <w:uiPriority w:val="99"/>
    <w:rsid w:val="002022AB"/>
    <w:rPr>
      <w:rFonts w:ascii="EUAlbertina" w:hAnsi="EUAlbertina" w:cs="Times New Roman"/>
      <w:color w:val="auto"/>
      <w:lang w:val="en-GB" w:eastAsia="en-GB"/>
    </w:rPr>
  </w:style>
  <w:style w:type="paragraph" w:customStyle="1" w:styleId="CM3">
    <w:name w:val="CM3"/>
    <w:basedOn w:val="Default"/>
    <w:next w:val="Default"/>
    <w:uiPriority w:val="99"/>
    <w:rsid w:val="002022AB"/>
    <w:rPr>
      <w:rFonts w:ascii="EUAlbertina" w:hAnsi="EUAlbertina" w:cs="Times New Roman"/>
      <w:color w:val="auto"/>
      <w:lang w:val="en-GB" w:eastAsia="en-GB"/>
    </w:rPr>
  </w:style>
  <w:style w:type="paragraph" w:styleId="Revision">
    <w:name w:val="Revision"/>
    <w:hidden/>
    <w:uiPriority w:val="99"/>
    <w:semiHidden/>
    <w:rsid w:val="002022A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50" Type="http://schemas.openxmlformats.org/officeDocument/2006/relationships/footer" Target="footer25.xml"/><Relationship Id="rId51" Type="http://schemas.openxmlformats.org/officeDocument/2006/relationships/footer" Target="footer26.xml"/><Relationship Id="rId52" Type="http://schemas.openxmlformats.org/officeDocument/2006/relationships/header" Target="header17.xml"/><Relationship Id="rId53" Type="http://schemas.openxmlformats.org/officeDocument/2006/relationships/footer" Target="footer27.xml"/><Relationship Id="rId54" Type="http://schemas.openxmlformats.org/officeDocument/2006/relationships/footer" Target="footer28.xml"/><Relationship Id="rId55" Type="http://schemas.openxmlformats.org/officeDocument/2006/relationships/footer" Target="footer29.xml"/><Relationship Id="rId56" Type="http://schemas.openxmlformats.org/officeDocument/2006/relationships/footer" Target="footer30.xml"/><Relationship Id="rId57" Type="http://schemas.openxmlformats.org/officeDocument/2006/relationships/footer" Target="footer31.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footer" Target="footer18.xml"/><Relationship Id="rId41" Type="http://schemas.openxmlformats.org/officeDocument/2006/relationships/footer" Target="footer19.xml"/><Relationship Id="rId42" Type="http://schemas.openxmlformats.org/officeDocument/2006/relationships/header" Target="header14.xml"/><Relationship Id="rId43" Type="http://schemas.openxmlformats.org/officeDocument/2006/relationships/footer" Target="footer20.xml"/><Relationship Id="rId44" Type="http://schemas.openxmlformats.org/officeDocument/2006/relationships/footer" Target="footer21.xml"/><Relationship Id="rId45" Type="http://schemas.openxmlformats.org/officeDocument/2006/relationships/footer" Target="footer22.xml"/><Relationship Id="rId46" Type="http://schemas.openxmlformats.org/officeDocument/2006/relationships/footer" Target="footer23.xml"/><Relationship Id="rId47" Type="http://schemas.openxmlformats.org/officeDocument/2006/relationships/footer" Target="footer24.xml"/><Relationship Id="rId48" Type="http://schemas.openxmlformats.org/officeDocument/2006/relationships/header" Target="header15.xml"/><Relationship Id="rId49" Type="http://schemas.openxmlformats.org/officeDocument/2006/relationships/header" Target="header1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30" Type="http://schemas.openxmlformats.org/officeDocument/2006/relationships/header" Target="header8.xml"/><Relationship Id="rId31" Type="http://schemas.openxmlformats.org/officeDocument/2006/relationships/footer" Target="footer14.xm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header" Target="header11.xml"/><Relationship Id="rId37" Type="http://schemas.openxmlformats.org/officeDocument/2006/relationships/footer" Target="footer17.xml"/><Relationship Id="rId38" Type="http://schemas.openxmlformats.org/officeDocument/2006/relationships/header" Target="header12.xml"/><Relationship Id="rId39" Type="http://schemas.openxmlformats.org/officeDocument/2006/relationships/header" Target="header13.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header" Target="header6.xml"/><Relationship Id="rId27" Type="http://schemas.openxmlformats.org/officeDocument/2006/relationships/header" Target="header7.xml"/><Relationship Id="rId28" Type="http://schemas.openxmlformats.org/officeDocument/2006/relationships/footer" Target="footer12.xml"/><Relationship Id="rId29" Type="http://schemas.openxmlformats.org/officeDocument/2006/relationships/footer" Target="footer13.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350</Pages>
  <Words>58524</Words>
  <Characters>333593</Characters>
  <Application>Microsoft Macintosh Word</Application>
  <DocSecurity>0</DocSecurity>
  <Lines>2779</Lines>
  <Paragraphs>782</Paragraphs>
  <ScaleCrop>false</ScaleCrop>
  <HeadingPairs>
    <vt:vector size="2" baseType="variant">
      <vt:variant>
        <vt:lpstr>Title</vt:lpstr>
      </vt:variant>
      <vt:variant>
        <vt:i4>1</vt:i4>
      </vt:variant>
    </vt:vector>
  </HeadingPairs>
  <TitlesOfParts>
    <vt:vector size="1" baseType="lpstr">
      <vt:lpstr>Inhaltsverzeichnis</vt:lpstr>
    </vt:vector>
  </TitlesOfParts>
  <Company>European parliament</Company>
  <LinksUpToDate>false</LinksUpToDate>
  <CharactersWithSpaces>391335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dc:title>
  <dc:subject/>
  <dc:creator>Joelle Brohier Meuter</dc:creator>
  <cp:keywords/>
  <cp:lastModifiedBy>Joelle Brohier Meuter</cp:lastModifiedBy>
  <cp:revision>1</cp:revision>
  <cp:lastPrinted>2014-04-15T08:35:00Z</cp:lastPrinted>
  <dcterms:created xsi:type="dcterms:W3CDTF">2014-04-17T07:02:00Z</dcterms:created>
  <dcterms:modified xsi:type="dcterms:W3CDTF">2014-04-17T13:56:00Z</dcterms:modified>
</cp:coreProperties>
</file>